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1065-2021-QEO</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唐山市怡文环境</w:t>
      </w:r>
      <w:r>
        <w:rPr>
          <w:rFonts w:hint="eastAsia" w:ascii="楷体" w:hAnsi="楷体" w:eastAsia="楷体"/>
          <w:b/>
          <w:color w:val="000000"/>
          <w:sz w:val="32"/>
          <w:szCs w:val="32"/>
          <w:lang w:val="en-US" w:eastAsia="zh-CN"/>
        </w:rPr>
        <w:t>检</w:t>
      </w:r>
      <w:r>
        <w:rPr>
          <w:rFonts w:ascii="楷体" w:hAnsi="楷体" w:eastAsia="楷体"/>
          <w:b/>
          <w:color w:val="000000"/>
          <w:sz w:val="32"/>
          <w:szCs w:val="32"/>
        </w:rPr>
        <w:t>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2021年11月08日 下午至2021年11月08日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4" w:name="Q勾选Add2"/>
            <w:r>
              <w:rPr>
                <w:rFonts w:hint="eastAsia" w:ascii="宋体" w:hAnsi="宋体"/>
                <w:b/>
                <w:color w:val="000000"/>
                <w:szCs w:val="21"/>
                <w:lang w:val="de-DE"/>
              </w:rPr>
              <w:t>■</w:t>
            </w:r>
            <w:bookmarkEnd w:id="14"/>
            <w:r>
              <w:rPr>
                <w:rFonts w:hint="eastAsia" w:ascii="宋体" w:hAnsi="宋体"/>
                <w:b/>
                <w:color w:val="000000"/>
                <w:szCs w:val="21"/>
                <w:lang w:val="de-DE"/>
              </w:rPr>
              <w:t>GB/T19001-2016</w:t>
            </w:r>
            <w:bookmarkStart w:id="15" w:name="QJ勾选Add2"/>
            <w:r>
              <w:rPr>
                <w:rFonts w:hint="eastAsia" w:ascii="宋体" w:hAnsi="宋体"/>
                <w:b/>
                <w:color w:val="000000"/>
                <w:szCs w:val="21"/>
                <w:lang w:val="de-DE"/>
              </w:rPr>
              <w:t>□</w:t>
            </w:r>
            <w:bookmarkEnd w:id="15"/>
            <w:r>
              <w:rPr>
                <w:rFonts w:hint="eastAsia" w:ascii="宋体" w:hAnsi="宋体"/>
                <w:b/>
                <w:color w:val="000000"/>
                <w:szCs w:val="21"/>
                <w:lang w:val="de-DE"/>
              </w:rPr>
              <w:t>GB/T 50430-2017</w:t>
            </w:r>
            <w:bookmarkStart w:id="16" w:name="E勾选Add2"/>
            <w:r>
              <w:rPr>
                <w:rFonts w:hint="eastAsia" w:ascii="宋体" w:hAnsi="宋体"/>
                <w:b/>
                <w:color w:val="000000"/>
                <w:szCs w:val="21"/>
                <w:lang w:val="de-DE"/>
              </w:rPr>
              <w:t>■</w:t>
            </w:r>
            <w:bookmarkEnd w:id="16"/>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17" w:name="S勾选Add2"/>
            <w:r>
              <w:rPr>
                <w:rFonts w:hint="eastAsia" w:ascii="宋体" w:hAnsi="宋体"/>
                <w:b/>
                <w:color w:val="000000"/>
                <w:szCs w:val="21"/>
                <w:lang w:val="de-DE"/>
              </w:rPr>
              <w:t>■</w:t>
            </w:r>
            <w:bookmarkEnd w:id="17"/>
            <w:r>
              <w:rPr>
                <w:rFonts w:hint="eastAsia" w:ascii="宋体" w:hAnsi="宋体"/>
                <w:b/>
                <w:color w:val="000000"/>
                <w:szCs w:val="21"/>
                <w:lang w:val="de-DE"/>
              </w:rPr>
              <w:t>GB/T</w:t>
            </w:r>
            <w:r>
              <w:rPr>
                <w:rFonts w:hint="eastAsia" w:ascii="宋体" w:hAnsi="宋体"/>
                <w:b/>
                <w:color w:val="000000"/>
                <w:szCs w:val="21"/>
                <w:lang w:val="en-US" w:eastAsia="zh-CN"/>
              </w:rPr>
              <w:t>4</w:t>
            </w:r>
            <w:r>
              <w:rPr>
                <w:rFonts w:hint="eastAsia" w:ascii="宋体" w:hAnsi="宋体"/>
                <w:b/>
                <w:color w:val="000000"/>
                <w:szCs w:val="21"/>
                <w:lang w:val="de-DE"/>
              </w:rPr>
              <w:t>5001</w:t>
            </w:r>
            <w:r>
              <w:rPr>
                <w:rFonts w:hint="eastAsia" w:ascii="宋体" w:hAnsi="宋体"/>
                <w:b/>
                <w:color w:val="000000"/>
                <w:szCs w:val="21"/>
                <w:lang w:val="en-US" w:eastAsia="zh-CN"/>
              </w:rPr>
              <w:t>-2020</w:t>
            </w:r>
          </w:p>
          <w:p>
            <w:pPr>
              <w:rPr>
                <w:rFonts w:ascii="宋体" w:hAnsi="宋体"/>
                <w:b/>
                <w:color w:val="000000"/>
                <w:szCs w:val="21"/>
                <w:lang w:val="de-DE"/>
              </w:rPr>
            </w:pPr>
            <w:bookmarkStart w:id="18" w:name="EnMS勾选Add2"/>
            <w:r>
              <w:rPr>
                <w:rFonts w:hint="eastAsia" w:ascii="宋体" w:hAnsi="宋体"/>
                <w:b/>
                <w:color w:val="000000"/>
                <w:szCs w:val="21"/>
                <w:lang w:val="de-DE"/>
              </w:rPr>
              <w:t>□</w:t>
            </w:r>
            <w:bookmarkEnd w:id="18"/>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asciiTheme="minorEastAsia" w:hAnsiTheme="minorEastAsia" w:eastAsiaTheme="minorEastAsia"/>
                <w:szCs w:val="21"/>
                <w:u w:val="none"/>
              </w:rPr>
              <w:t>迁西县经济开发区中区兴城镇西河南寨村北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hint="eastAsia"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w:t>
            </w:r>
          </w:p>
          <w:p>
            <w:pPr>
              <w:rPr>
                <w:rFonts w:ascii="宋体"/>
                <w:b/>
                <w:color w:val="0000FF"/>
                <w:szCs w:val="21"/>
              </w:rPr>
            </w:pPr>
            <w:r>
              <w:rPr>
                <w:rFonts w:hint="eastAsia" w:ascii="宋体"/>
                <w:b/>
                <w:color w:val="0000FF"/>
                <w:szCs w:val="21"/>
                <w:lang w:eastAsia="zh-CN"/>
              </w:rPr>
              <w:t>□</w:t>
            </w:r>
            <w:r>
              <w:rPr>
                <w:rFonts w:hint="eastAsia" w:ascii="宋体"/>
                <w:b/>
                <w:color w:val="0000FF"/>
                <w:szCs w:val="21"/>
              </w:rPr>
              <w:t>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657"/>
        <w:gridCol w:w="1353"/>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657" w:type="dxa"/>
            <w:vAlign w:val="center"/>
          </w:tcPr>
          <w:p>
            <w:pPr>
              <w:spacing w:line="240" w:lineRule="exact"/>
              <w:jc w:val="center"/>
              <w:rPr>
                <w:b/>
                <w:color w:val="000000"/>
                <w:szCs w:val="21"/>
              </w:rPr>
            </w:pPr>
            <w:r>
              <w:rPr>
                <w:rFonts w:hint="eastAsia"/>
                <w:szCs w:val="21"/>
              </w:rPr>
              <w:t>审核员注册证书号</w:t>
            </w:r>
          </w:p>
        </w:tc>
        <w:tc>
          <w:tcPr>
            <w:tcW w:w="1353"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657" w:type="dxa"/>
            <w:vAlign w:val="center"/>
          </w:tcPr>
          <w:p>
            <w:pPr>
              <w:spacing w:line="240" w:lineRule="exact"/>
              <w:jc w:val="center"/>
              <w:rPr>
                <w:b/>
                <w:color w:val="000000"/>
                <w:szCs w:val="21"/>
              </w:rPr>
            </w:pPr>
            <w:r>
              <w:rPr>
                <w:b/>
                <w:color w:val="000000"/>
                <w:szCs w:val="21"/>
              </w:rPr>
              <w:t>2019-N1QMS-3022240</w:t>
            </w:r>
          </w:p>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1353" w:type="dxa"/>
            <w:vAlign w:val="center"/>
          </w:tcPr>
          <w:p>
            <w:pPr>
              <w:spacing w:line="240" w:lineRule="exact"/>
              <w:jc w:val="center"/>
              <w:rPr>
                <w:b/>
                <w:color w:val="000000"/>
                <w:szCs w:val="21"/>
              </w:rPr>
            </w:pPr>
            <w:r>
              <w:rPr>
                <w:b/>
                <w:color w:val="000000"/>
                <w:szCs w:val="21"/>
              </w:rPr>
              <w:t>Q:34.02.00</w:t>
            </w:r>
          </w:p>
          <w:p>
            <w:pPr>
              <w:spacing w:line="240" w:lineRule="exact"/>
              <w:jc w:val="center"/>
              <w:rPr>
                <w:b/>
                <w:color w:val="000000"/>
                <w:szCs w:val="21"/>
              </w:rPr>
            </w:pPr>
            <w:r>
              <w:rPr>
                <w:b/>
                <w:color w:val="000000"/>
                <w:szCs w:val="21"/>
              </w:rPr>
              <w:t>E:34.02.00</w:t>
            </w:r>
          </w:p>
          <w:p>
            <w:pPr>
              <w:spacing w:line="240" w:lineRule="exact"/>
              <w:jc w:val="center"/>
              <w:rPr>
                <w:b/>
                <w:color w:val="000000"/>
                <w:szCs w:val="21"/>
              </w:rPr>
            </w:pPr>
            <w:r>
              <w:rPr>
                <w:b/>
                <w:color w:val="000000"/>
                <w:szCs w:val="21"/>
              </w:rPr>
              <w:t>O:34.02.00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657" w:type="dxa"/>
            <w:vAlign w:val="center"/>
          </w:tcPr>
          <w:p>
            <w:pPr>
              <w:spacing w:line="240" w:lineRule="exact"/>
              <w:jc w:val="center"/>
              <w:rPr>
                <w:b/>
                <w:color w:val="000000"/>
                <w:szCs w:val="21"/>
              </w:rPr>
            </w:pPr>
            <w:r>
              <w:rPr>
                <w:b/>
                <w:color w:val="000000"/>
                <w:szCs w:val="21"/>
              </w:rPr>
              <w:t>2019-N1QMS-1244880</w:t>
            </w:r>
          </w:p>
        </w:tc>
        <w:tc>
          <w:tcPr>
            <w:tcW w:w="1353"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朱晓丽</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657" w:type="dxa"/>
            <w:vAlign w:val="center"/>
          </w:tcPr>
          <w:p>
            <w:pPr>
              <w:spacing w:line="240" w:lineRule="exact"/>
              <w:jc w:val="center"/>
              <w:rPr>
                <w:b/>
                <w:color w:val="000000"/>
                <w:szCs w:val="21"/>
              </w:rPr>
            </w:pPr>
            <w:r>
              <w:rPr>
                <w:b/>
                <w:color w:val="000000"/>
                <w:szCs w:val="21"/>
              </w:rPr>
              <w:t>2021-N1QMS-3205805</w:t>
            </w:r>
          </w:p>
          <w:p>
            <w:pPr>
              <w:spacing w:line="240" w:lineRule="exact"/>
              <w:jc w:val="center"/>
              <w:rPr>
                <w:b/>
                <w:color w:val="000000"/>
                <w:szCs w:val="21"/>
              </w:rPr>
            </w:pPr>
            <w:r>
              <w:rPr>
                <w:b/>
                <w:color w:val="000000"/>
                <w:szCs w:val="21"/>
              </w:rPr>
              <w:t>2021-N1EMS-3205805</w:t>
            </w:r>
          </w:p>
        </w:tc>
        <w:tc>
          <w:tcPr>
            <w:tcW w:w="1353"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657" w:type="dxa"/>
            <w:vAlign w:val="center"/>
          </w:tcPr>
          <w:p>
            <w:pPr>
              <w:rPr>
                <w:b/>
                <w:color w:val="000000"/>
                <w:szCs w:val="21"/>
              </w:rPr>
            </w:pPr>
            <w:r>
              <w:rPr>
                <w:rFonts w:hint="eastAsia"/>
                <w:b/>
                <w:color w:val="000000"/>
                <w:szCs w:val="21"/>
              </w:rPr>
              <w:t>工作单位</w:t>
            </w:r>
          </w:p>
        </w:tc>
        <w:tc>
          <w:tcPr>
            <w:tcW w:w="2441"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657" w:type="dxa"/>
            <w:vAlign w:val="center"/>
          </w:tcPr>
          <w:p>
            <w:pPr>
              <w:rPr>
                <w:b/>
                <w:color w:val="000000"/>
                <w:szCs w:val="21"/>
              </w:rPr>
            </w:pPr>
          </w:p>
        </w:tc>
        <w:tc>
          <w:tcPr>
            <w:tcW w:w="2441"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default" w:eastAsia="宋体"/>
                <w:b/>
                <w:color w:val="000000"/>
                <w:szCs w:val="21"/>
                <w:highlight w:val="green"/>
                <w:lang w:val="en-US" w:eastAsia="zh-CN"/>
              </w:rPr>
            </w:pPr>
            <w:r>
              <w:rPr>
                <w:rFonts w:hint="eastAsia"/>
                <w:b/>
                <w:color w:val="000000"/>
                <w:szCs w:val="21"/>
                <w:highlight w:val="green"/>
                <w:lang w:val="en-US" w:eastAsia="zh-CN"/>
              </w:rPr>
              <w:t>/</w:t>
            </w: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657" w:type="dxa"/>
            <w:vAlign w:val="center"/>
          </w:tcPr>
          <w:p>
            <w:pPr>
              <w:rPr>
                <w:b/>
                <w:color w:val="000000"/>
                <w:szCs w:val="21"/>
                <w:highlight w:val="green"/>
              </w:rPr>
            </w:pPr>
          </w:p>
        </w:tc>
        <w:tc>
          <w:tcPr>
            <w:tcW w:w="2441"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唐山市怡文环境</w:t>
            </w:r>
            <w:r>
              <w:rPr>
                <w:rFonts w:hint="eastAsia" w:ascii="宋体"/>
                <w:b/>
                <w:color w:val="000000"/>
                <w:szCs w:val="21"/>
                <w:lang w:val="en-US" w:eastAsia="zh-CN"/>
              </w:rPr>
              <w:t>检</w:t>
            </w:r>
            <w:r>
              <w:rPr>
                <w:rFonts w:ascii="宋体"/>
                <w:b/>
                <w:color w:val="000000"/>
                <w:szCs w:val="21"/>
              </w:rPr>
              <w:t>测有限公司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迁西县经济开发区中区兴城镇西河南寨村北</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064300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生产地址"/>
            <w:bookmarkStart w:id="25" w:name="办公地址"/>
            <w:r>
              <w:rPr>
                <w:rFonts w:ascii="宋体"/>
                <w:b/>
                <w:color w:val="000000"/>
                <w:szCs w:val="21"/>
              </w:rPr>
              <w:t>迁西县经济开发区中区兴城镇西河南寨村北</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064300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郭双艳</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13613336565</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王金山</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郭双艳</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Borders/>
          </w:tcPr>
          <w:p>
            <w:pPr>
              <w:tabs>
                <w:tab w:val="left" w:pos="360"/>
              </w:tabs>
              <w:ind w:left="360" w:hanging="360"/>
              <w:rPr>
                <w:rFonts w:ascii="宋体" w:hAnsi="宋体"/>
                <w:b/>
                <w:color w:val="000000"/>
                <w:szCs w:val="21"/>
              </w:rPr>
            </w:pPr>
            <w:r>
              <w:rPr>
                <w:b w:val="0"/>
                <w:bCs w:val="0"/>
                <w:sz w:val="21"/>
                <w:szCs w:val="21"/>
              </w:rPr>
              <w:t>资质范围内环境检测服务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rPr>
                <w:rFonts w:ascii="宋体"/>
                <w:color w:val="000000"/>
                <w:szCs w:val="21"/>
              </w:rPr>
            </w:pPr>
            <w:r>
              <w:rPr>
                <w:rFonts w:hint="eastAsia" w:ascii="Times New Roman" w:hAnsi="Times New Roman" w:eastAsia="宋体" w:cs="Times New Roman"/>
                <w:b w:val="0"/>
                <w:bCs w:val="0"/>
                <w:sz w:val="21"/>
                <w:szCs w:val="21"/>
                <w:lang w:val="en-US" w:eastAsia="zh-CN"/>
              </w:rPr>
              <w:t>签订合同—现场确认—检测—数据整理—编制报告—报告校核批准—打印存档—报告发送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rPr>
                <w:rFonts w:ascii="宋体" w:hAnsi="宋体"/>
                <w:b/>
                <w:color w:val="000000"/>
                <w:szCs w:val="21"/>
              </w:rPr>
            </w:pPr>
            <w:bookmarkStart w:id="32" w:name="审核范围"/>
            <w:r>
              <w:rPr>
                <w:b w:val="0"/>
                <w:bCs w:val="0"/>
                <w:sz w:val="21"/>
                <w:szCs w:val="21"/>
              </w:rPr>
              <w:t>资质范围内环境检测服务</w:t>
            </w:r>
            <w:bookmarkEnd w:id="32"/>
          </w:p>
        </w:tc>
        <w:tc>
          <w:tcPr>
            <w:tcW w:w="2006" w:type="dxa"/>
            <w:gridSpan w:val="3"/>
            <w:vAlign w:val="center"/>
          </w:tcPr>
          <w:p>
            <w:pPr>
              <w:spacing w:line="400" w:lineRule="exact"/>
              <w:rPr>
                <w:rFonts w:ascii="宋体" w:hAnsi="宋体"/>
                <w:b/>
                <w:color w:val="000000"/>
                <w:szCs w:val="21"/>
              </w:rPr>
            </w:pPr>
            <w:r>
              <w:rPr>
                <w:b w:val="0"/>
                <w:bCs w:val="0"/>
                <w:sz w:val="21"/>
                <w:szCs w:val="21"/>
              </w:rPr>
              <w:t>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b w:val="0"/>
                <w:bCs w:val="0"/>
                <w:sz w:val="21"/>
                <w:szCs w:val="21"/>
              </w:rPr>
              <w:t>资质范围内环境检测服务所涉及场所的相关环境管理活动</w:t>
            </w:r>
          </w:p>
        </w:tc>
        <w:tc>
          <w:tcPr>
            <w:tcW w:w="2006" w:type="dxa"/>
            <w:gridSpan w:val="3"/>
            <w:vAlign w:val="center"/>
          </w:tcPr>
          <w:p>
            <w:pPr>
              <w:spacing w:line="400" w:lineRule="exact"/>
              <w:rPr>
                <w:rFonts w:ascii="宋体" w:hAnsi="宋体"/>
                <w:b/>
                <w:color w:val="000000"/>
                <w:szCs w:val="21"/>
              </w:rPr>
            </w:pPr>
            <w:r>
              <w:rPr>
                <w:b w:val="0"/>
                <w:bCs w:val="0"/>
                <w:sz w:val="21"/>
                <w:szCs w:val="21"/>
              </w:rPr>
              <w:t>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b w:val="0"/>
                <w:bCs w:val="0"/>
                <w:sz w:val="21"/>
                <w:szCs w:val="21"/>
              </w:rPr>
              <w:t>资质范围内环境检测服务所涉及场所的相关职业健康安全管理活动</w:t>
            </w:r>
          </w:p>
        </w:tc>
        <w:tc>
          <w:tcPr>
            <w:tcW w:w="2006" w:type="dxa"/>
            <w:gridSpan w:val="3"/>
            <w:vAlign w:val="center"/>
          </w:tcPr>
          <w:p>
            <w:pPr>
              <w:spacing w:line="400" w:lineRule="exact"/>
              <w:rPr>
                <w:rFonts w:ascii="宋体" w:hAnsi="宋体"/>
                <w:b/>
                <w:color w:val="000000"/>
                <w:szCs w:val="21"/>
              </w:rPr>
            </w:pPr>
            <w:r>
              <w:rPr>
                <w:b w:val="0"/>
                <w:bCs w:val="0"/>
                <w:sz w:val="21"/>
                <w:szCs w:val="21"/>
              </w:rPr>
              <w:t>34.02.00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98"/>
        <w:gridCol w:w="2436"/>
        <w:gridCol w:w="571"/>
        <w:gridCol w:w="1630"/>
        <w:gridCol w:w="18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bCs/>
                <w:sz w:val="21"/>
                <w:szCs w:val="21"/>
                <w:lang w:val="en-US" w:eastAsia="zh-CN"/>
              </w:rPr>
            </w:pPr>
            <w:r>
              <w:rPr>
                <w:rFonts w:eastAsia="黑体" w:cs="Arial"/>
                <w:sz w:val="21"/>
                <w:szCs w:val="21"/>
                <w:lang w:eastAsia="zh-CN"/>
              </w:rPr>
              <w:t>场所编号</w:t>
            </w:r>
          </w:p>
        </w:tc>
        <w:tc>
          <w:tcPr>
            <w:tcW w:w="2098"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436"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1630" w:type="dxa"/>
            <w:shd w:val="clear" w:color="auto" w:fill="F3F3F3"/>
            <w:tcMar>
              <w:left w:w="57" w:type="dxa"/>
              <w:right w:w="57" w:type="dxa"/>
            </w:tcMar>
          </w:tcPr>
          <w:p>
            <w:pPr>
              <w:pStyle w:val="22"/>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842"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098" w:type="dxa"/>
          </w:tcPr>
          <w:p>
            <w:pPr>
              <w:spacing w:before="40" w:after="40"/>
              <w:rPr>
                <w:rFonts w:hint="eastAsia" w:eastAsia="宋体"/>
                <w:szCs w:val="21"/>
                <w:lang w:val="en-US" w:eastAsia="zh-CN"/>
              </w:rPr>
            </w:pPr>
            <w:r>
              <w:rPr>
                <w:rFonts w:ascii="宋体"/>
                <w:b/>
                <w:color w:val="000000"/>
                <w:szCs w:val="21"/>
              </w:rPr>
              <w:t>唐山市怡文环境</w:t>
            </w:r>
            <w:r>
              <w:rPr>
                <w:rFonts w:hint="eastAsia" w:ascii="宋体"/>
                <w:b/>
                <w:color w:val="000000"/>
                <w:szCs w:val="21"/>
                <w:lang w:val="en-US" w:eastAsia="zh-CN"/>
              </w:rPr>
              <w:t>检</w:t>
            </w:r>
            <w:r>
              <w:rPr>
                <w:rFonts w:ascii="宋体"/>
                <w:b/>
                <w:color w:val="000000"/>
                <w:szCs w:val="21"/>
              </w:rPr>
              <w:t>测有限公司</w:t>
            </w:r>
            <w:r>
              <w:rPr>
                <w:rFonts w:hint="eastAsia" w:ascii="宋体"/>
                <w:b/>
                <w:color w:val="000000"/>
                <w:szCs w:val="21"/>
                <w:lang w:val="en-US" w:eastAsia="zh-CN"/>
              </w:rPr>
              <w:t>/</w:t>
            </w:r>
            <w:r>
              <w:rPr>
                <w:rFonts w:ascii="宋体"/>
                <w:b/>
                <w:color w:val="000000"/>
                <w:szCs w:val="21"/>
              </w:rPr>
              <w:t>迁西县经济开发区中区兴城镇西河南寨村北</w:t>
            </w:r>
          </w:p>
        </w:tc>
        <w:tc>
          <w:tcPr>
            <w:tcW w:w="2436" w:type="dxa"/>
          </w:tcPr>
          <w:p>
            <w:pPr>
              <w:spacing w:before="40" w:after="40"/>
              <w:rPr>
                <w:rFonts w:eastAsia="黑体"/>
                <w:szCs w:val="21"/>
                <w:lang w:val="de-DE" w:eastAsia="ja-JP"/>
              </w:rPr>
            </w:pPr>
            <w:r>
              <w:rPr>
                <w:rFonts w:ascii="宋体"/>
                <w:b/>
                <w:color w:val="000000"/>
                <w:szCs w:val="21"/>
              </w:rPr>
              <w:t>迁西县经济开发区中区兴城镇西河南寨村北</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17</w:t>
            </w:r>
          </w:p>
        </w:tc>
        <w:tc>
          <w:tcPr>
            <w:tcW w:w="1630" w:type="dxa"/>
            <w:vAlign w:val="center"/>
          </w:tcPr>
          <w:p>
            <w:pPr>
              <w:pStyle w:val="20"/>
              <w:rPr>
                <w:rFonts w:eastAsia="黑体" w:cs="Arial"/>
                <w:sz w:val="21"/>
                <w:szCs w:val="21"/>
                <w:lang w:val="en-US" w:eastAsia="ja-JP"/>
              </w:rPr>
            </w:pPr>
            <w:r>
              <w:rPr>
                <w:b w:val="0"/>
                <w:bCs w:val="0"/>
                <w:sz w:val="21"/>
                <w:szCs w:val="21"/>
              </w:rPr>
              <w:t>资质范围内环境检测服务</w:t>
            </w:r>
          </w:p>
        </w:tc>
        <w:tc>
          <w:tcPr>
            <w:tcW w:w="1842" w:type="dxa"/>
            <w:vAlign w:val="center"/>
          </w:tcPr>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GB/T19001-2016</w:t>
            </w:r>
          </w:p>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GB/T24001-2016</w:t>
            </w:r>
          </w:p>
          <w:p>
            <w:pPr>
              <w:keepNext w:val="0"/>
              <w:keepLines w:val="0"/>
              <w:pageBreakBefore w:val="0"/>
              <w:kinsoku/>
              <w:wordWrap/>
              <w:overflowPunct/>
              <w:topLinePunct w:val="0"/>
              <w:autoSpaceDE/>
              <w:autoSpaceDN/>
              <w:bidi w:val="0"/>
              <w:adjustRightInd/>
              <w:spacing w:line="240" w:lineRule="exact"/>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1"/>
                <w:szCs w:val="21"/>
                <w:lang w:val="en-GB" w:eastAsia="de-DE" w:bidi="ar-SA"/>
              </w:rPr>
              <w:t>GB/T45001-2020</w:t>
            </w:r>
          </w:p>
        </w:tc>
        <w:tc>
          <w:tcPr>
            <w:tcW w:w="668"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098" w:type="dxa"/>
            <w:vAlign w:val="center"/>
          </w:tcPr>
          <w:p>
            <w:pPr>
              <w:spacing w:before="40" w:after="40"/>
              <w:rPr>
                <w:rFonts w:hint="default" w:eastAsia="黑体"/>
                <w:szCs w:val="21"/>
                <w:lang w:val="en-US" w:eastAsia="zh-CN"/>
              </w:rPr>
            </w:pPr>
            <w:r>
              <w:rPr>
                <w:rFonts w:hint="eastAsia" w:eastAsia="黑体"/>
                <w:szCs w:val="21"/>
                <w:lang w:val="en-US" w:eastAsia="zh-CN"/>
              </w:rPr>
              <w:t>多场所（唐山市蓝翔环保设备有限公司）</w:t>
            </w:r>
          </w:p>
        </w:tc>
        <w:tc>
          <w:tcPr>
            <w:tcW w:w="2436" w:type="dxa"/>
            <w:vAlign w:val="center"/>
          </w:tcPr>
          <w:p>
            <w:pPr>
              <w:spacing w:before="40" w:after="40"/>
              <w:rPr>
                <w:rFonts w:eastAsia="黑体"/>
                <w:szCs w:val="21"/>
                <w:lang w:eastAsia="ja-JP"/>
              </w:rPr>
            </w:pPr>
            <w:r>
              <w:rPr>
                <w:rFonts w:ascii="宋体"/>
                <w:b/>
                <w:color w:val="000000"/>
                <w:szCs w:val="21"/>
              </w:rPr>
              <w:t>迁西县经济开发区中区兴城镇西河南寨村北</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4</w:t>
            </w:r>
          </w:p>
        </w:tc>
        <w:tc>
          <w:tcPr>
            <w:tcW w:w="1630" w:type="dxa"/>
            <w:vAlign w:val="center"/>
          </w:tcPr>
          <w:p>
            <w:pPr>
              <w:spacing w:before="40" w:after="40"/>
              <w:rPr>
                <w:rFonts w:eastAsia="黑体"/>
                <w:szCs w:val="21"/>
                <w:lang w:eastAsia="ja-JP"/>
              </w:rPr>
            </w:pPr>
            <w:r>
              <w:rPr>
                <w:b w:val="0"/>
                <w:bCs w:val="0"/>
                <w:sz w:val="21"/>
                <w:szCs w:val="21"/>
              </w:rPr>
              <w:t>环境检测服务</w:t>
            </w:r>
          </w:p>
        </w:tc>
        <w:tc>
          <w:tcPr>
            <w:tcW w:w="1842" w:type="dxa"/>
            <w:vAlign w:val="center"/>
          </w:tcPr>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GB/T19001-2016</w:t>
            </w:r>
          </w:p>
          <w:p>
            <w:pPr>
              <w:keepNext w:val="0"/>
              <w:keepLines w:val="0"/>
              <w:pageBreakBefore w:val="0"/>
              <w:kinsoku/>
              <w:wordWrap/>
              <w:overflowPunct/>
              <w:topLinePunct w:val="0"/>
              <w:autoSpaceDE/>
              <w:autoSpaceDN/>
              <w:bidi w:val="0"/>
              <w:adjustRightInd/>
              <w:spacing w:line="240" w:lineRule="exact"/>
              <w:rPr>
                <w:rFonts w:hint="eastAsia" w:ascii="Times New Roman" w:hAnsi="Times New Roman" w:eastAsia="Times New Roman" w:cs="Times New Roman"/>
                <w:kern w:val="2"/>
                <w:sz w:val="21"/>
                <w:szCs w:val="21"/>
                <w:lang w:val="en-GB" w:eastAsia="de-DE" w:bidi="ar-SA"/>
              </w:rPr>
            </w:pPr>
            <w:r>
              <w:rPr>
                <w:rFonts w:hint="eastAsia" w:ascii="Times New Roman" w:hAnsi="Times New Roman" w:eastAsia="Times New Roman" w:cs="Times New Roman"/>
                <w:kern w:val="2"/>
                <w:sz w:val="21"/>
                <w:szCs w:val="21"/>
                <w:lang w:val="en-GB" w:eastAsia="de-DE" w:bidi="ar-SA"/>
              </w:rPr>
              <w:t>GB/T24001-2016</w:t>
            </w:r>
          </w:p>
          <w:p>
            <w:pPr>
              <w:keepNext w:val="0"/>
              <w:keepLines w:val="0"/>
              <w:pageBreakBefore w:val="0"/>
              <w:kinsoku/>
              <w:wordWrap/>
              <w:overflowPunct/>
              <w:topLinePunct w:val="0"/>
              <w:autoSpaceDE/>
              <w:autoSpaceDN/>
              <w:bidi w:val="0"/>
              <w:adjustRightInd/>
              <w:spacing w:line="240" w:lineRule="exact"/>
              <w:rPr>
                <w:rFonts w:ascii="Times New Roman" w:hAnsi="Times New Roman" w:eastAsia="黑体" w:cs="Times New Roman"/>
                <w:kern w:val="2"/>
                <w:sz w:val="21"/>
                <w:szCs w:val="21"/>
                <w:lang w:val="en-US" w:eastAsia="ja-JP" w:bidi="ar-SA"/>
              </w:rPr>
            </w:pPr>
            <w:r>
              <w:rPr>
                <w:rFonts w:hint="eastAsia" w:ascii="Times New Roman" w:hAnsi="Times New Roman" w:eastAsia="Times New Roman" w:cs="Times New Roman"/>
                <w:kern w:val="2"/>
                <w:sz w:val="21"/>
                <w:szCs w:val="21"/>
                <w:lang w:val="en-GB" w:eastAsia="de-DE" w:bidi="ar-SA"/>
              </w:rPr>
              <w:t>GB/T45001-2020</w:t>
            </w:r>
          </w:p>
        </w:tc>
        <w:tc>
          <w:tcPr>
            <w:tcW w:w="668" w:type="dxa"/>
            <w:shd w:val="clear" w:color="auto" w:fill="FFFFFF"/>
            <w:vAlign w:val="top"/>
          </w:tcPr>
          <w:sdt>
            <w:sdtPr>
              <w:rPr>
                <w:rFonts w:eastAsia="黑体"/>
                <w:szCs w:val="21"/>
              </w:rPr>
              <w:id w:val="271604670"/>
              <w14:checkbox>
                <w14:checked w14:val="1"/>
                <w14:checkedState w14:val="2612" w14:font="MS Gothic"/>
                <w14:uncheckedState w14:val="2610" w14:font="MS Gothic"/>
              </w14:checkbox>
            </w:sdtPr>
            <w:sdtEndPr>
              <w:rPr>
                <w:rFonts w:eastAsia="黑体"/>
                <w:szCs w:val="21"/>
              </w:rPr>
            </w:sdtEndPr>
            <w:sdtContent>
              <w:p>
                <w:pPr>
                  <w:rPr>
                    <w:rFonts w:eastAsia="黑体"/>
                    <w:szCs w:val="21"/>
                  </w:rPr>
                </w:pPr>
                <w:r>
                  <w:rPr>
                    <w:rFonts w:ascii="MS Gothic" w:hAnsi="MS Gothic" w:eastAsia="黑体" w:cs="Segoe UI Symbol"/>
                    <w:kern w:val="2"/>
                    <w:sz w:val="21"/>
                    <w:szCs w:val="21"/>
                    <w:lang w:val="en-US" w:eastAsia="zh-CN" w:bidi="ar-SA"/>
                  </w:rPr>
                  <w:t>☒</w:t>
                </w:r>
              </w:p>
            </w:sdtContent>
          </w:sdt>
          <w:p>
            <w:pPr>
              <w:rPr>
                <w:rFonts w:ascii="Times New Roman" w:hAnsi="Times New Roman" w:eastAsia="黑体" w:cs="Times New Roman"/>
                <w:kern w:val="2"/>
                <w:sz w:val="21"/>
                <w:szCs w:val="21"/>
                <w:lang w:val="en-US" w:eastAsia="zh-CN" w:bidi="ar-SA"/>
              </w:rPr>
            </w:pPr>
          </w:p>
        </w:tc>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hint="eastAsia" w:ascii="宋体" w:hAnsi="宋体"/>
                <w:b/>
                <w:color w:val="000000"/>
                <w:szCs w:val="21"/>
                <w:lang w:eastAsia="zh-CN"/>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6</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8</w:t>
            </w:r>
            <w:r>
              <w:rPr>
                <w:rFonts w:hint="eastAsia" w:ascii="宋体" w:hAnsi="宋体"/>
                <w:b/>
                <w:color w:val="000000"/>
                <w:szCs w:val="21"/>
                <w:u w:val="single"/>
              </w:rPr>
              <w:t>月</w:t>
            </w:r>
            <w:r>
              <w:rPr>
                <w:rFonts w:hint="eastAsia" w:ascii="宋体" w:hAnsi="宋体"/>
                <w:b/>
                <w:color w:val="000000"/>
                <w:szCs w:val="21"/>
                <w:u w:val="single"/>
                <w:lang w:val="en-US" w:eastAsia="zh-CN"/>
              </w:rPr>
              <w:t>9-10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年8月30日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hint="eastAsia"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需求分析</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hint="default"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lang w:val="en-US" w:eastAsia="zh-CN"/>
              </w:rPr>
              <w:t>试验方法的确定，设备校准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hint="eastAsia" w:ascii="宋体" w:hAns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9"/>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hint="eastAsia" w:ascii="宋体"/>
                <w:color w:val="000000"/>
                <w:spacing w:val="-10"/>
                <w:szCs w:val="21"/>
                <w:lang w:eastAsia="zh-CN"/>
              </w:rPr>
            </w:pPr>
            <w:r>
              <w:rPr>
                <w:rFonts w:hint="eastAsia" w:ascii="宋体"/>
                <w:color w:val="000000"/>
                <w:spacing w:val="-10"/>
                <w:szCs w:val="21"/>
                <w:lang w:eastAsia="zh-CN"/>
              </w:rPr>
              <w:t>☑</w:t>
            </w:r>
            <w:r>
              <w:rPr>
                <w:rFonts w:hint="eastAsia" w:ascii="宋体"/>
                <w:color w:val="000000"/>
                <w:spacing w:val="-10"/>
                <w:szCs w:val="21"/>
              </w:rPr>
              <w:t>环境主管部门、□动力装置场所、</w:t>
            </w:r>
            <w:r>
              <w:rPr>
                <w:rFonts w:hint="eastAsia" w:ascii="宋体"/>
                <w:color w:val="000000"/>
                <w:spacing w:val="-10"/>
                <w:szCs w:val="21"/>
                <w:lang w:eastAsia="zh-CN"/>
              </w:rPr>
              <w:t>☑</w:t>
            </w:r>
            <w:r>
              <w:rPr>
                <w:rFonts w:hint="eastAsia" w:ascii="宋体"/>
                <w:color w:val="000000"/>
                <w:spacing w:val="-10"/>
                <w:szCs w:val="21"/>
              </w:rPr>
              <w:t>危险化学品仓库、□污染物治疗设施、□危废堆放场所</w:t>
            </w:r>
            <w:r>
              <w:rPr>
                <w:rFonts w:hint="eastAsia" w:ascii="宋体"/>
                <w:color w:val="000000"/>
                <w:spacing w:val="-10"/>
                <w:szCs w:val="21"/>
                <w:lang w:eastAsia="zh-CN"/>
              </w:rPr>
              <w:t>、</w:t>
            </w:r>
          </w:p>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p>
      <w:pPr>
        <w:pStyle w:val="2"/>
      </w:pPr>
    </w:p>
    <w:tbl>
      <w:tblPr>
        <w:tblStyle w:val="9"/>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w:t>
            </w:r>
            <w:r>
              <w:rPr>
                <w:rFonts w:hint="eastAsia" w:ascii="宋体"/>
                <w:color w:val="000000"/>
                <w:spacing w:val="-10"/>
                <w:szCs w:val="21"/>
                <w:lang w:eastAsia="zh-CN"/>
              </w:rPr>
              <w:t>、☑</w:t>
            </w:r>
            <w:r>
              <w:rPr>
                <w:rFonts w:hint="eastAsia" w:ascii="宋体"/>
                <w:color w:val="000000"/>
                <w:spacing w:val="-10"/>
                <w:szCs w:val="21"/>
              </w:rPr>
              <w:t>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多场所（唐山市蓝翔环保设备有限公司）</w:t>
            </w:r>
            <w:r>
              <w:rPr>
                <w:rFonts w:hint="eastAsia" w:ascii="宋体"/>
                <w:b/>
                <w:color w:val="000000"/>
                <w:szCs w:val="21"/>
                <w:lang w:eastAsia="zh-CN"/>
              </w:rPr>
              <w:t>，</w:t>
            </w:r>
            <w:r>
              <w:rPr>
                <w:rFonts w:hint="eastAsia" w:ascii="宋体"/>
                <w:b/>
                <w:color w:val="000000"/>
                <w:szCs w:val="21"/>
              </w:rPr>
              <w:t>迁西县经济开发区中区兴城镇西河南寨村北</w:t>
            </w:r>
            <w:r>
              <w:rPr>
                <w:rFonts w:hint="eastAsia" w:ascii="宋体"/>
                <w:b/>
                <w:color w:val="000000"/>
                <w:szCs w:val="21"/>
                <w:lang w:eastAsia="zh-CN"/>
              </w:rPr>
              <w:t>，</w:t>
            </w:r>
            <w:r>
              <w:rPr>
                <w:rFonts w:hint="eastAsia" w:ascii="宋体"/>
                <w:b/>
                <w:color w:val="000000"/>
                <w:szCs w:val="21"/>
                <w:lang w:val="en-US" w:eastAsia="zh-CN"/>
              </w:rPr>
              <w:t>距离总部步行5分钟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3" w:name="二阶段审核日期"/>
            <w:r>
              <w:rPr>
                <w:rFonts w:hint="eastAsia" w:ascii="宋体"/>
                <w:b/>
                <w:color w:val="000000"/>
                <w:szCs w:val="21"/>
              </w:rPr>
              <w:t>2021-11-</w:t>
            </w:r>
            <w:bookmarkEnd w:id="33"/>
            <w:r>
              <w:rPr>
                <w:rFonts w:hint="eastAsia" w:ascii="宋体"/>
                <w:b/>
                <w:color w:val="000000"/>
                <w:szCs w:val="21"/>
                <w:lang w:val="en-US" w:eastAsia="zh-CN"/>
              </w:rPr>
              <w:t>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bookmarkStart w:id="34" w:name="_GoBack"/>
      <w:r>
        <w:rPr>
          <w:rFonts w:ascii="宋体" w:hAnsi="宋体"/>
          <w:b/>
          <w:color w:val="000000"/>
          <w:szCs w:val="21"/>
        </w:rPr>
        <w:drawing>
          <wp:anchor distT="0" distB="0" distL="114300" distR="114300" simplePos="0" relativeHeight="251659264" behindDoc="0" locked="0" layoutInCell="1" allowOverlap="1">
            <wp:simplePos x="0" y="0"/>
            <wp:positionH relativeFrom="column">
              <wp:posOffset>1698625</wp:posOffset>
            </wp:positionH>
            <wp:positionV relativeFrom="paragraph">
              <wp:posOffset>113665</wp:posOffset>
            </wp:positionV>
            <wp:extent cx="1165225" cy="56134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165225" cy="561340"/>
                    </a:xfrm>
                    <a:prstGeom prst="rect">
                      <a:avLst/>
                    </a:prstGeom>
                  </pic:spPr>
                </pic:pic>
              </a:graphicData>
            </a:graphic>
          </wp:anchor>
        </w:drawing>
      </w:r>
      <w:bookmarkEnd w:id="34"/>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5481" w:firstLineChars="26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2021年11月8日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r>
              <w:rPr>
                <w:sz w:val="21"/>
              </w:rPr>
              <w:pict>
                <v:line id="_x0000_s1026" o:spid="_x0000_s1026" o:spt="20" style="position:absolute;left:0pt;flip:y;margin-left:28.2pt;margin-top:31pt;height:291.35pt;width:452.7pt;z-index:251660288;mso-width-relative:page;mso-height-relative:page;" filled="f" stroked="t" coordsize="21600,21600">
                  <v:path arrowok="t"/>
                  <v:fill on="f" focussize="0,0"/>
                  <v:stroke color="#000000"/>
                  <v:imagedata o:title=""/>
                  <o:lock v:ext="edit" aspectratio="f"/>
                </v:line>
              </w:pict>
            </w: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ascii="宋体" w:hAnsi="宋体"/>
                <w:b/>
                <w:color w:val="000000"/>
                <w:szCs w:val="21"/>
              </w:rPr>
              <w:drawing>
                <wp:anchor distT="0" distB="0" distL="114300" distR="114300" simplePos="0" relativeHeight="251661312" behindDoc="0" locked="0" layoutInCell="1" allowOverlap="1">
                  <wp:simplePos x="0" y="0"/>
                  <wp:positionH relativeFrom="column">
                    <wp:posOffset>440690</wp:posOffset>
                  </wp:positionH>
                  <wp:positionV relativeFrom="paragraph">
                    <wp:posOffset>13335</wp:posOffset>
                  </wp:positionV>
                  <wp:extent cx="1165225" cy="561340"/>
                  <wp:effectExtent l="0" t="0" r="0" b="0"/>
                  <wp:wrapNone/>
                  <wp:docPr id="4" name="图片 4"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4151347"/>
                          <pic:cNvPicPr>
                            <a:picLocks noChangeAspect="1"/>
                          </pic:cNvPicPr>
                        </pic:nvPicPr>
                        <pic:blipFill>
                          <a:blip r:embed="rId6"/>
                          <a:stretch>
                            <a:fillRect/>
                          </a:stretch>
                        </pic:blipFill>
                        <pic:spPr>
                          <a:xfrm>
                            <a:off x="0" y="0"/>
                            <a:ext cx="1165225" cy="561340"/>
                          </a:xfrm>
                          <a:prstGeom prst="rect">
                            <a:avLst/>
                          </a:prstGeom>
                        </pic:spPr>
                      </pic:pic>
                    </a:graphicData>
                  </a:graphic>
                </wp:anchor>
              </w:drawing>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3FDF1BB6"/>
    <w:rsid w:val="74BD0B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2</TotalTime>
  <ScaleCrop>false</ScaleCrop>
  <LinksUpToDate>false</LinksUpToDate>
  <CharactersWithSpaces>9455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2021-11-19T05:08:21Z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2052-11.1.0.11045</vt:lpwstr>
  </property>
</Properties>
</file>