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sz w:val="30"/>
          <w:szCs w:val="30"/>
        </w:rPr>
        <w:t>PE100给水管壁厚尺寸</w:t>
      </w:r>
      <w:r>
        <w:rPr>
          <w:b/>
          <w:sz w:val="30"/>
          <w:szCs w:val="30"/>
        </w:rPr>
        <w:t>测量</w:t>
      </w:r>
      <w:r>
        <w:rPr>
          <w:rFonts w:hint="eastAsia"/>
          <w:b/>
          <w:sz w:val="30"/>
          <w:szCs w:val="30"/>
        </w:rPr>
        <w:t>过程</w:t>
      </w:r>
      <w:r>
        <w:rPr>
          <w:b/>
          <w:bCs/>
          <w:snapToGrid w:val="0"/>
          <w:kern w:val="0"/>
          <w:sz w:val="30"/>
          <w:szCs w:val="30"/>
        </w:rPr>
        <w:t>不确定</w:t>
      </w:r>
      <w:r>
        <w:rPr>
          <w:rFonts w:hint="eastAsia"/>
          <w:b/>
          <w:bCs/>
          <w:snapToGrid w:val="0"/>
          <w:kern w:val="0"/>
          <w:sz w:val="30"/>
          <w:szCs w:val="30"/>
          <w:lang w:val="en-US" w:eastAsia="zh-CN"/>
        </w:rPr>
        <w:t>度</w:t>
      </w:r>
      <w:r>
        <w:rPr>
          <w:b/>
          <w:bCs/>
          <w:snapToGrid w:val="0"/>
          <w:kern w:val="0"/>
          <w:sz w:val="30"/>
          <w:szCs w:val="30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依据GB/T8806-2008《塑料管道系统 塑料部件尺寸的测定》及仪器使用说明书和相关操作规范进行测量。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1.3、检测设备：壁厚千分尺</w:t>
      </w:r>
      <w:r>
        <w:rPr>
          <w:rFonts w:hint="default" w:ascii="Times New Roman" w:hAnsi="Times New Roman" w:eastAsia="宋体" w:cs="Times New Roman"/>
          <w:sz w:val="24"/>
          <w:szCs w:val="24"/>
        </w:rPr>
        <w:t>（0~25）mm,最大允</w:t>
      </w:r>
      <w:r>
        <w:rPr>
          <w:rFonts w:hint="default" w:ascii="Times New Roman" w:hAnsi="Times New Roman" w:eastAsia="宋体" w:cs="Times New Roman"/>
          <w:sz w:val="24"/>
          <w:szCs w:val="24"/>
        </w:rPr>
        <w:t>许误差±0.004mm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=0.0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014m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m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壁厚尺寸</w:t>
      </w:r>
      <w:r>
        <w:rPr>
          <w:rFonts w:hint="default" w:ascii="Times New Roman" w:hAnsi="Times New Roman" w:eastAsia="宋体" w:cs="Times New Roman"/>
          <w:sz w:val="24"/>
          <w:szCs w:val="24"/>
        </w:rPr>
        <w:t>：2.3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8pt;width:35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1.5、测量过程：将被测管件稳固放置，</w:t>
      </w:r>
      <w:r>
        <w:rPr>
          <w:rFonts w:hint="default" w:ascii="Times New Roman" w:hAnsi="Times New Roman" w:eastAsia="宋体" w:cs="Times New Roman"/>
          <w:sz w:val="24"/>
          <w:szCs w:val="24"/>
        </w:rPr>
        <w:t>将壁厚千分尺对准零位后，测量管材壁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厚尺寸，读取壁厚千分尺示值即为管材壁厚尺寸，记录数据，计算平均值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ΔL=L                                     （1）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式中：ΔL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管材壁厚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7"/>
        <w:spacing w:line="360" w:lineRule="auto"/>
        <w:ind w:firstLine="1680" w:firstLineChars="7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管材壁厚读数值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57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的</w:t>
      </w:r>
      <w:bookmarkStart w:id="0" w:name="_GoBack"/>
      <w:bookmarkEnd w:id="0"/>
      <w:r>
        <w:rPr>
          <w:rFonts w:hint="eastAsia" w:cs="Times New Roman"/>
          <w:sz w:val="24"/>
          <w:szCs w:val="24"/>
          <w:lang w:val="en-US" w:eastAsia="zh-CN"/>
        </w:rPr>
        <w:t>误差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3.1测量重复性引起的标准不确定度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测量重复性引起的标准不确定度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做A类评定测量：在壁厚千分尺正常工作状态下，同一组人，用同一台设备，在相临近的时间内，对被测试件连续测量10次，得10个测量数据汇于表1：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L读数值(mm)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hint="default" w:ascii="Cambria Math" w:hAnsi="Cambria Math" w:eastAsia="宋体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m:rPr/>
                      <w:rPr>
                        <w:rFonts w:hint="default" w:ascii="Cambria Math" w:hAnsi="Cambria Math" w:eastAsia="宋体" w:cs="Times New Roman"/>
                        <w:sz w:val="24"/>
                        <w:szCs w:val="24"/>
                      </w:rPr>
                      <m:t>L</m:t>
                    </m:r>
                    <m:ctrlPr>
                      <w:rPr>
                        <w:rFonts w:hint="default" w:ascii="Cambria Math" w:hAnsi="Cambria Math" w:eastAsia="宋体" w:cs="Times New Roman"/>
                        <w:i/>
                        <w:sz w:val="24"/>
                        <w:szCs w:val="24"/>
                      </w:rPr>
                    </m:ctrlPr>
                  </m:e>
                </m:bar>
                <m:r>
                  <m:rPr/>
                  <w:rPr>
                    <w:rFonts w:hint="default" w:ascii="Cambria Math" w:hAnsi="Cambria Math" w:eastAsia="宋体" w:cs="Times New Roman"/>
                    <w:sz w:val="24"/>
                    <w:szCs w:val="24"/>
                  </w:rPr>
                  <m:t>(mm)</m:t>
                </m:r>
              </m:oMath>
            </m:oMathPara>
          </w:p>
        </w:tc>
        <w:tc>
          <w:tcPr>
            <w:tcW w:w="7732" w:type="dxa"/>
            <w:gridSpan w:val="1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2.328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i/>
          <w:sz w:val="24"/>
        </w:rPr>
      </w:pPr>
      <w:r>
        <w:rPr>
          <w:sz w:val="24"/>
        </w:rPr>
        <w:t>测量值的平均值：</w:t>
      </w:r>
      <w:r>
        <w:rPr>
          <w:i/>
          <w:position w:val="-20"/>
          <w:sz w:val="24"/>
        </w:rPr>
        <w:object>
          <v:shape id="_x0000_i1026" o:spt="75" type="#_x0000_t75" style="height:42.95pt;width:138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/>
          <w:kern w:val="0"/>
          <w:sz w:val="24"/>
          <w:lang w:val="en-US" w:eastAsia="zh-CN"/>
        </w:rPr>
        <w:t>单个测量值的</w:t>
      </w:r>
      <w:r>
        <w:rPr>
          <w:kern w:val="0"/>
          <w:sz w:val="24"/>
        </w:rPr>
        <w:t>实验标准差：</w:t>
      </w:r>
      <w:r>
        <w:rPr>
          <w:kern w:val="0"/>
          <w:position w:val="-24"/>
          <w:sz w:val="24"/>
        </w:rPr>
        <w:object>
          <v:shape id="_x0000_i1027" o:spt="75" type="#_x0000_t75" style="height:47pt;width:15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日常测量以单次测量值为最终测量结果，则：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=0.01mm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</w:rPr>
        <w:t>（0~25）mm壁厚千分尺的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校准证书给出的最大允许误差</w:t>
      </w:r>
      <w:r>
        <w:rPr>
          <w:rFonts w:hint="default" w:ascii="Times New Roman" w:hAnsi="Times New Roman" w:eastAsia="宋体" w:cs="Times New Roman"/>
          <w:sz w:val="24"/>
          <w:szCs w:val="24"/>
        </w:rPr>
        <w:t>为±0.004mm，服从均匀分布，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半宽a=0.004mm，包含因子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，则由设备示值误差引入的不确定分量为：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i w:val="0"/>
          <w:kern w:val="0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8" o:spt="75" type="#_x0000_t75" style="height:33pt;width:139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/>
                <w:rPr>
                  <w:rFonts w:hint="default" w:ascii="Cambria Math" w:hAnsi="Cambria Math" w:eastAsia="宋体" w:cs="Times New Roman"/>
                  <w:sz w:val="24"/>
                  <w:szCs w:val="24"/>
                  <w:vertAlign w:val="subscript"/>
                </w:rPr>
                <m:t>u</m:t>
              </m:r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e>
            <m:sub>
              <m:r>
                <m:rPr/>
                <w:rPr>
                  <w:rFonts w:hint="default" w:ascii="Cambria Math" w:hAnsi="Cambria Math" w:eastAsia="宋体" w:cs="Times New Roman"/>
                  <w:sz w:val="24"/>
                  <w:szCs w:val="24"/>
                  <w:vertAlign w:val="subscript"/>
                </w:rPr>
                <m:t>C</m:t>
              </m:r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sub>
          </m:sSub>
          <m:r>
            <m:rPr/>
            <w:rPr>
              <w:rFonts w:hint="default" w:ascii="Cambria Math" w:hAnsi="Cambria Math" w:eastAsia="宋体" w:cs="Times New Roman"/>
              <w:sz w:val="24"/>
              <w:szCs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deg>
            <m:e>
              <m:sSubSup>
                <m:sSubSupP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1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p>
              </m:sSubSup>
              <m:r>
                <m:rPr/>
                <w:rPr>
                  <w:rFonts w:hint="default" w:ascii="Cambria Math" w:hAnsi="Cambria Math" w:eastAsia="宋体" w:cs="Times New Roman"/>
                  <w:sz w:val="24"/>
                  <w:szCs w:val="24"/>
                  <w:vertAlign w:val="subscript"/>
                </w:rPr>
                <m:t>+</m:t>
              </m:r>
              <m:sSubSup>
                <m:sSubSupP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SubSup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u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p>
              </m:sSubSup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eastAsia="宋体" w:cs="Times New Roman"/>
              <w:sz w:val="24"/>
              <w:szCs w:val="24"/>
              <w:vertAlign w:val="subscript"/>
            </w:rPr>
            <m:t>=</m:t>
          </m:r>
          <m:rad>
            <m:radPr>
              <m:degHide m:val="1"/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radPr>
            <m:deg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deg>
            <m:e>
              <m:r>
                <m:rPr/>
                <w:rPr>
                  <w:rFonts w:hint="default" w:ascii="Cambria Math" w:hAnsi="Cambria Math" w:eastAsia="宋体" w:cs="Times New Roman"/>
                  <w:sz w:val="24"/>
                  <w:szCs w:val="24"/>
                  <w:vertAlign w:val="subscript"/>
                </w:rPr>
                <m:t>0.0</m:t>
              </m:r>
              <m:sSup>
                <m:sSupP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1</m:t>
                  </m:r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  <w:lang w:val="en-US" w:eastAsia="zh-CN"/>
                    </w:rPr>
                    <m:t>mm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p>
              </m:sSup>
              <m:r>
                <m:rPr/>
                <w:rPr>
                  <w:rFonts w:hint="default" w:ascii="Cambria Math" w:hAnsi="Cambria Math" w:eastAsia="宋体" w:cs="Times New Roman"/>
                  <w:sz w:val="24"/>
                  <w:szCs w:val="24"/>
                  <w:vertAlign w:val="subscript"/>
                </w:rPr>
                <m:t>+0.00</m:t>
              </m:r>
              <m:sSup>
                <m:sSupP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  <w:lang w:val="en-US" w:eastAsia="zh-CN"/>
                    </w:rPr>
                    <m:t>3mm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eastAsia="宋体" w:cs="Times New Roman"/>
                      <w:sz w:val="24"/>
                      <w:szCs w:val="24"/>
                      <w:vertAlign w:val="subscript"/>
                    </w:rPr>
                    <m:t>2</m:t>
                  </m:r>
                  <m:ctrlPr>
                    <w:rPr>
                      <w:rFonts w:hint="default" w:ascii="Cambria Math" w:hAnsi="Cambria Math" w:eastAsia="宋体" w:cs="Times New Roman"/>
                      <w:i/>
                      <w:sz w:val="24"/>
                      <w:szCs w:val="24"/>
                      <w:vertAlign w:val="subscript"/>
                    </w:rPr>
                  </m:ctrlPr>
                </m:sup>
              </m:sSup>
              <m:ctrlPr>
                <w:rPr>
                  <w:rFonts w:hint="default" w:ascii="Cambria Math" w:hAnsi="Cambria Math" w:eastAsia="宋体" w:cs="Times New Roman"/>
                  <w:i/>
                  <w:sz w:val="24"/>
                  <w:szCs w:val="24"/>
                  <w:vertAlign w:val="subscript"/>
                </w:rPr>
              </m:ctrlPr>
            </m:e>
          </m:rad>
          <m:r>
            <m:rPr/>
            <w:rPr>
              <w:rFonts w:hint="default" w:ascii="Cambria Math" w:hAnsi="Cambria Math" w:eastAsia="宋体" w:cs="Times New Roman"/>
              <w:sz w:val="24"/>
              <w:szCs w:val="24"/>
              <w:vertAlign w:val="subscript"/>
            </w:rPr>
            <m:t>=0.01mm</m:t>
          </m:r>
        </m:oMath>
      </m:oMathPara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＝2×0.01mm＝0.02mm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0.02mm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5272B"/>
    <w:rsid w:val="000A7F90"/>
    <w:rsid w:val="000D5B0F"/>
    <w:rsid w:val="00227CDF"/>
    <w:rsid w:val="003168A5"/>
    <w:rsid w:val="003869A8"/>
    <w:rsid w:val="0047357A"/>
    <w:rsid w:val="00477F42"/>
    <w:rsid w:val="00486E22"/>
    <w:rsid w:val="0055550A"/>
    <w:rsid w:val="005A154F"/>
    <w:rsid w:val="006E25D7"/>
    <w:rsid w:val="007A54BF"/>
    <w:rsid w:val="007B58A5"/>
    <w:rsid w:val="00844D24"/>
    <w:rsid w:val="008C2F73"/>
    <w:rsid w:val="00A0424A"/>
    <w:rsid w:val="00A27A88"/>
    <w:rsid w:val="00B72BDD"/>
    <w:rsid w:val="00D24F36"/>
    <w:rsid w:val="00D60E80"/>
    <w:rsid w:val="00E946B4"/>
    <w:rsid w:val="00F55B64"/>
    <w:rsid w:val="01F323FB"/>
    <w:rsid w:val="020B557E"/>
    <w:rsid w:val="029D4DA9"/>
    <w:rsid w:val="03BC08A6"/>
    <w:rsid w:val="04444815"/>
    <w:rsid w:val="04C9479B"/>
    <w:rsid w:val="06080CA8"/>
    <w:rsid w:val="062619D7"/>
    <w:rsid w:val="0A9A5E74"/>
    <w:rsid w:val="0AC37138"/>
    <w:rsid w:val="0CB95DC4"/>
    <w:rsid w:val="0E2137A4"/>
    <w:rsid w:val="0EBC1312"/>
    <w:rsid w:val="10C76CC6"/>
    <w:rsid w:val="11DD0A90"/>
    <w:rsid w:val="135F262B"/>
    <w:rsid w:val="13AC495E"/>
    <w:rsid w:val="150669D4"/>
    <w:rsid w:val="1581369B"/>
    <w:rsid w:val="16B32AFD"/>
    <w:rsid w:val="18175742"/>
    <w:rsid w:val="183E7280"/>
    <w:rsid w:val="18A0353D"/>
    <w:rsid w:val="19FE7EF4"/>
    <w:rsid w:val="1B8F690F"/>
    <w:rsid w:val="20414B95"/>
    <w:rsid w:val="20526AEA"/>
    <w:rsid w:val="20991FB3"/>
    <w:rsid w:val="225E6248"/>
    <w:rsid w:val="2289621D"/>
    <w:rsid w:val="22B50769"/>
    <w:rsid w:val="262F18A5"/>
    <w:rsid w:val="27140077"/>
    <w:rsid w:val="27725E1D"/>
    <w:rsid w:val="277F4CDB"/>
    <w:rsid w:val="28775E12"/>
    <w:rsid w:val="295E52F6"/>
    <w:rsid w:val="2A156B2E"/>
    <w:rsid w:val="2A6B52E7"/>
    <w:rsid w:val="2AF858E1"/>
    <w:rsid w:val="2B480192"/>
    <w:rsid w:val="2CE16816"/>
    <w:rsid w:val="32FD5AF2"/>
    <w:rsid w:val="33563FC8"/>
    <w:rsid w:val="36184782"/>
    <w:rsid w:val="37A94C31"/>
    <w:rsid w:val="382713AA"/>
    <w:rsid w:val="39983970"/>
    <w:rsid w:val="3E782D86"/>
    <w:rsid w:val="3EDD5CF7"/>
    <w:rsid w:val="3F1A4F25"/>
    <w:rsid w:val="3F6A1D37"/>
    <w:rsid w:val="408F7BE8"/>
    <w:rsid w:val="409F2474"/>
    <w:rsid w:val="42802D8D"/>
    <w:rsid w:val="42EE23CF"/>
    <w:rsid w:val="45FE3658"/>
    <w:rsid w:val="462C7D91"/>
    <w:rsid w:val="47674205"/>
    <w:rsid w:val="49680B69"/>
    <w:rsid w:val="499A7F67"/>
    <w:rsid w:val="4A32389E"/>
    <w:rsid w:val="4DCA6A9D"/>
    <w:rsid w:val="4F761812"/>
    <w:rsid w:val="5031549C"/>
    <w:rsid w:val="50736228"/>
    <w:rsid w:val="51D71733"/>
    <w:rsid w:val="51EC774F"/>
    <w:rsid w:val="526747A8"/>
    <w:rsid w:val="53136556"/>
    <w:rsid w:val="57111E70"/>
    <w:rsid w:val="57CC2099"/>
    <w:rsid w:val="5B2B0E03"/>
    <w:rsid w:val="5CF80503"/>
    <w:rsid w:val="5E41035F"/>
    <w:rsid w:val="5E6C67F7"/>
    <w:rsid w:val="5EFD54A6"/>
    <w:rsid w:val="5FBA6C7D"/>
    <w:rsid w:val="6001421E"/>
    <w:rsid w:val="64BF0549"/>
    <w:rsid w:val="68471F94"/>
    <w:rsid w:val="69AB6042"/>
    <w:rsid w:val="69BA6852"/>
    <w:rsid w:val="6A764632"/>
    <w:rsid w:val="6B0A3B10"/>
    <w:rsid w:val="6B9C4C49"/>
    <w:rsid w:val="6D1A7968"/>
    <w:rsid w:val="6E9F7006"/>
    <w:rsid w:val="6F321DAE"/>
    <w:rsid w:val="6FD65F44"/>
    <w:rsid w:val="70F43A1C"/>
    <w:rsid w:val="73F02AA3"/>
    <w:rsid w:val="753A51ED"/>
    <w:rsid w:val="76FB0010"/>
    <w:rsid w:val="78865F02"/>
    <w:rsid w:val="78EB596B"/>
    <w:rsid w:val="7A7F2C28"/>
    <w:rsid w:val="7C261AA1"/>
    <w:rsid w:val="7F4B7FF9"/>
    <w:rsid w:val="7F5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2</TotalTime>
  <ScaleCrop>false</ScaleCrop>
  <LinksUpToDate>false</LinksUpToDate>
  <CharactersWithSpaces>1338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86137</cp:lastModifiedBy>
  <dcterms:modified xsi:type="dcterms:W3CDTF">2021-10-24T02:44:38Z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8F49DD9255D845AB9DCA1E37CC67586D</vt:lpwstr>
  </property>
</Properties>
</file>