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100"/>
        <w:gridCol w:w="674"/>
        <w:gridCol w:w="71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2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3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品控部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马雨杰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胡向东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20" w:type="dxa"/>
            <w:vMerge w:val="continue"/>
            <w:vAlign w:val="center"/>
          </w:tcPr>
          <w:p/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肖新龙、陈丽丹（实习）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2021-10-29上午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0" w:type="dxa"/>
            <w:vMerge w:val="continue"/>
            <w:vAlign w:val="center"/>
          </w:tcPr>
          <w:p/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H:2.4.2/2.5.1/3.6/3.7/3.8/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4.5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/5.1-5.3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20" w:type="dxa"/>
            <w:vMerge w:val="restart"/>
            <w:vAlign w:val="top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1100" w:type="dxa"/>
            <w:vMerge w:val="restart"/>
            <w:vAlign w:val="top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H (V1.0)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2.5.1</w:t>
            </w:r>
          </w:p>
        </w:tc>
        <w:tc>
          <w:tcPr>
            <w:tcW w:w="745" w:type="dxa"/>
            <w:gridSpan w:val="2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如</w:t>
            </w:r>
            <w:r>
              <w:rPr>
                <w:rFonts w:hint="eastAsia"/>
                <w:lang w:eastAsia="zh-CN"/>
              </w:rPr>
              <w:t>：</w:t>
            </w:r>
            <w:r>
              <w:rPr/>
              <w:sym w:font="Wingdings" w:char="00FE"/>
            </w:r>
            <w:r>
              <w:rPr>
                <w:rFonts w:hint="eastAsia"/>
              </w:rPr>
              <w:t>《管理手册》第</w:t>
            </w:r>
            <w:r>
              <w:rPr>
                <w:rFonts w:hint="eastAsia"/>
                <w:lang w:val="en-US" w:eastAsia="zh-CN"/>
              </w:rPr>
              <w:t>0.4.1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20" w:type="dxa"/>
            <w:vMerge w:val="continue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1100" w:type="dxa"/>
            <w:vMerge w:val="continue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主要负责本部门体系文件的管理、负责生产区域过程的监督检查、负责原料验收、成品出厂检验、负责、参与食品安全小组活动、包括确认验证等；负责不安全产品的处理、参与应急、撤回/召回演练等。</w:t>
            </w: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目标</w:t>
            </w:r>
          </w:p>
        </w:tc>
        <w:tc>
          <w:tcPr>
            <w:tcW w:w="1100" w:type="dxa"/>
            <w:vMerge w:val="restart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H(V1.0)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2.4.2  </w:t>
            </w: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67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330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HACCP手册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67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330" w:type="dxa"/>
            <w:gridSpan w:val="2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组织建立了与食品安全方针一致、与合规义务相适宜的文件化的食品安全目标。为实现总食品安全目标而建立的各层级食品安全目标具体、有针对性、可测量并且可实现。</w:t>
            </w:r>
          </w:p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总的食品安全目标实现情况的评价，及其测量方法是：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788"/>
              <w:gridCol w:w="16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食品安全目标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计算方法</w:t>
                  </w:r>
                </w:p>
              </w:tc>
              <w:tc>
                <w:tcPr>
                  <w:tcW w:w="1788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目标实际完成</w:t>
                  </w:r>
                </w:p>
                <w:p>
                  <w:pPr>
                    <w:spacing w:line="440" w:lineRule="exact"/>
                    <w:jc w:val="left"/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（2021.06-09）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无重大食物安全事故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GB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按照有关规定属重大食物安全事故的</w:t>
                  </w:r>
                </w:p>
              </w:tc>
              <w:tc>
                <w:tcPr>
                  <w:tcW w:w="178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品控部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GB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出厂产品检验合格率100%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已检合格批次/检验批次*100%</w:t>
                  </w:r>
                </w:p>
              </w:tc>
              <w:tc>
                <w:tcPr>
                  <w:tcW w:w="178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品控部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计量器具送检率100％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已送检数量/需送检数量*100%</w:t>
                  </w:r>
                </w:p>
              </w:tc>
              <w:tc>
                <w:tcPr>
                  <w:tcW w:w="178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品控部</w:t>
                  </w:r>
                </w:p>
              </w:tc>
              <w:tc>
                <w:tcPr>
                  <w:tcW w:w="1625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采购产品到货合格率95％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合格产品批次/订货批次*100%</w:t>
                  </w:r>
                </w:p>
              </w:tc>
              <w:tc>
                <w:tcPr>
                  <w:tcW w:w="178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品控部</w:t>
                  </w:r>
                </w:p>
              </w:tc>
              <w:tc>
                <w:tcPr>
                  <w:tcW w:w="1625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市场抽检合格率100％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市场抽检合格次数/市场抽检次数*100%</w:t>
                  </w:r>
                </w:p>
              </w:tc>
              <w:tc>
                <w:tcPr>
                  <w:tcW w:w="178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品控部</w:t>
                  </w:r>
                </w:p>
              </w:tc>
              <w:tc>
                <w:tcPr>
                  <w:tcW w:w="1625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100%</w:t>
                  </w:r>
                </w:p>
              </w:tc>
            </w:tr>
          </w:tbl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目标已实现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监视和测量</w:t>
            </w:r>
          </w:p>
        </w:tc>
        <w:tc>
          <w:tcPr>
            <w:tcW w:w="110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H(V1.0）</w:t>
            </w:r>
            <w:r>
              <w:rPr>
                <w:rFonts w:hint="eastAsia"/>
                <w:highlight w:val="none"/>
              </w:rPr>
              <w:t xml:space="preserve">3.6 </w:t>
            </w:r>
          </w:p>
        </w:tc>
        <w:tc>
          <w:tcPr>
            <w:tcW w:w="674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手册第3.6条款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  <w:tcBorders/>
          </w:tcPr>
          <w:p/>
        </w:tc>
        <w:tc>
          <w:tcPr>
            <w:tcW w:w="1100" w:type="dxa"/>
            <w:vMerge w:val="continue"/>
            <w:tcBorders/>
          </w:tcPr>
          <w:p/>
        </w:tc>
        <w:tc>
          <w:tcPr>
            <w:tcW w:w="674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</w:tcPr>
          <w:p>
            <w:r>
              <w:rPr>
                <w:rFonts w:hint="eastAsia"/>
              </w:rPr>
              <w:t>准确识别</w:t>
            </w:r>
            <w:r>
              <w:rPr>
                <w:rFonts w:hint="eastAsia"/>
                <w:color w:val="000000"/>
                <w:szCs w:val="21"/>
              </w:rPr>
              <w:t xml:space="preserve">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  <w:lang w:val="en-US" w:eastAsia="zh-CN"/>
              </w:rPr>
              <w:t>不适用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服务工作检查表：</w:t>
            </w:r>
            <w:r>
              <w:rPr>
                <w:rFonts w:hint="eastAsia"/>
                <w:lang w:val="en-US" w:eastAsia="zh-CN"/>
              </w:rPr>
              <w:t>不适用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食品温度计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RX-2110000182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2022-10-13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比重计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LX-2110000644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2022-10-12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恒温培养箱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WSD-2021040001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2022-03-31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安全阀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AJL202145154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2022-10-25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电子天平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LP-2021030129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2022-03-17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压力表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LY-Q202150002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2021-11-17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双金属温度计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RW-2021030138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2022-03-29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FF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>电子秤（11280169）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/>
                      <w:color w:val="FF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>未提供检定报告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实验室</w:t>
                  </w:r>
                </w:p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>抽查内部校准情况；抽查《内部校准计划》  《校准规程》  《校准记录》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/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标准溶液控制：</w:t>
            </w:r>
            <w:r>
              <w:rPr>
                <w:rFonts w:hint="eastAsia"/>
                <w:lang w:val="en-US" w:eastAsia="zh-CN"/>
              </w:rPr>
              <w:t>不适用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2020" w:type="dxa"/>
            <w:shd w:val="clear" w:color="auto" w:fill="auto"/>
          </w:tcPr>
          <w:p>
            <w:r>
              <w:rPr>
                <w:rFonts w:hint="eastAsia"/>
              </w:rPr>
              <w:t>产品放行</w:t>
            </w:r>
          </w:p>
        </w:tc>
        <w:tc>
          <w:tcPr>
            <w:tcW w:w="1100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H(V1.0)</w:t>
            </w:r>
            <w:r>
              <w:rPr>
                <w:rFonts w:hint="eastAsia"/>
              </w:rPr>
              <w:t xml:space="preserve">3.8  </w:t>
            </w:r>
          </w:p>
        </w:tc>
        <w:tc>
          <w:tcPr>
            <w:tcW w:w="67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如：《产品检验控制程序》或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《产品放行控制程序》</w:t>
            </w: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446"/>
              <w:gridCol w:w="2667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446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667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24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按照进货量10%进行抽样</w:t>
                  </w:r>
                </w:p>
              </w:tc>
              <w:tc>
                <w:tcPr>
                  <w:tcW w:w="26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原辅材料、包装材料检验规范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4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2667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主要以感官检验为主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4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26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主要以感官检验为主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24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26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Q/DMS0001S-2020标准执行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244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667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585" w:type="dxa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产品放行</w:t>
            </w:r>
          </w:p>
        </w:tc>
        <w:tc>
          <w:tcPr>
            <w:tcW w:w="110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H(V1.0)</w:t>
            </w:r>
            <w:r>
              <w:rPr>
                <w:rFonts w:hint="eastAsia"/>
              </w:rPr>
              <w:t xml:space="preserve">3.8  </w:t>
            </w:r>
          </w:p>
        </w:tc>
        <w:tc>
          <w:tcPr>
            <w:tcW w:w="67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  <w:shd w:val="clear" w:color="auto" w:fill="auto"/>
          </w:tcPr>
          <w:p/>
          <w:p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原料验收记录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43"/>
              <w:gridCol w:w="1200"/>
              <w:gridCol w:w="2020"/>
              <w:gridCol w:w="2150"/>
              <w:gridCol w:w="13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43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02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150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2021-10-16</w:t>
                  </w:r>
                </w:p>
              </w:tc>
              <w:tc>
                <w:tcPr>
                  <w:tcW w:w="154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25kg精制盐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0.3%</w:t>
                  </w:r>
                </w:p>
              </w:tc>
              <w:tc>
                <w:tcPr>
                  <w:tcW w:w="202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供方证件、规格型号、产品包装、感官、数量</w:t>
                  </w:r>
                </w:p>
              </w:tc>
              <w:tc>
                <w:tcPr>
                  <w:tcW w:w="215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2021-10-15</w:t>
                  </w:r>
                </w:p>
              </w:tc>
              <w:tc>
                <w:tcPr>
                  <w:tcW w:w="154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鸭蛋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10%</w:t>
                  </w:r>
                </w:p>
              </w:tc>
              <w:tc>
                <w:tcPr>
                  <w:tcW w:w="202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感官、重量、破蛋数量</w:t>
                  </w:r>
                </w:p>
              </w:tc>
              <w:tc>
                <w:tcPr>
                  <w:tcW w:w="215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感官：新鲜、蛋壳表面光洁、蛋清澄清透明，无异味；重量：29.7斤；破碎数量3个，破蛋比例1%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2021-10-23</w:t>
                  </w:r>
                </w:p>
              </w:tc>
              <w:tc>
                <w:tcPr>
                  <w:tcW w:w="154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纸箱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10%</w:t>
                  </w:r>
                </w:p>
              </w:tc>
              <w:tc>
                <w:tcPr>
                  <w:tcW w:w="20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供方证件、规格型号、产品包装、感官、数量</w:t>
                  </w:r>
                </w:p>
              </w:tc>
              <w:tc>
                <w:tcPr>
                  <w:tcW w:w="21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主要以感官检验为主</w:t>
            </w:r>
            <w:r>
              <w:rPr>
                <w:rFonts w:hint="eastAsia"/>
                <w:u w:val="single"/>
              </w:rPr>
              <w:t xml:space="preserve">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2021-10-28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咸蛋黄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外观、干燥程度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色泽正常，无异物，表面干爽不黏连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出厂检验报告</w:t>
            </w:r>
            <w:r>
              <w:rPr>
                <w:rFonts w:hint="eastAsia"/>
                <w:highlight w:val="none"/>
                <w:u w:val="single"/>
              </w:rPr>
              <w:t>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15"/>
              <w:gridCol w:w="2458"/>
              <w:gridCol w:w="1967"/>
              <w:gridCol w:w="11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1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24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9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1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67" w:type="dxa"/>
                  <w:vMerge w:val="restart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2021-10-25</w:t>
                  </w:r>
                </w:p>
              </w:tc>
              <w:tc>
                <w:tcPr>
                  <w:tcW w:w="1620" w:type="dxa"/>
                  <w:vMerge w:val="restart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咸蛋黄/2021-10-25</w:t>
                  </w:r>
                </w:p>
              </w:tc>
              <w:tc>
                <w:tcPr>
                  <w:tcW w:w="1115" w:type="dxa"/>
                  <w:vMerge w:val="restart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245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感官：产品该有的正常的色泽、气味、形态，无肉眼可见外来杂质；</w:t>
                  </w:r>
                </w:p>
              </w:tc>
              <w:tc>
                <w:tcPr>
                  <w:tcW w:w="1967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符合要求</w:t>
                  </w:r>
                </w:p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3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5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净含量：2.5kg</w:t>
                  </w:r>
                </w:p>
              </w:tc>
              <w:tc>
                <w:tcPr>
                  <w:tcW w:w="1967" w:type="dxa"/>
                </w:tcPr>
                <w:p>
                  <w:pPr>
                    <w:pStyle w:val="2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2.5kg</w:t>
                  </w:r>
                </w:p>
              </w:tc>
              <w:tc>
                <w:tcPr>
                  <w:tcW w:w="111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2021-10-02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咸鸭蛋/2021-09-30</w:t>
                  </w:r>
                </w:p>
              </w:tc>
              <w:tc>
                <w:tcPr>
                  <w:tcW w:w="111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2458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感官：产品该有的正常的色泽、气味、形态，无肉眼可见外来杂质；</w:t>
                  </w:r>
                </w:p>
                <w:p>
                  <w:pPr>
                    <w:pStyle w:val="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净含量：62.1g</w:t>
                  </w:r>
                </w:p>
                <w:p>
                  <w:pPr>
                    <w:pStyle w:val="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菌落总数：n=5c=2m=10M=100</w:t>
                  </w:r>
                </w:p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大肠菌群：n=5c=2m=10M=100</w:t>
                  </w:r>
                </w:p>
              </w:tc>
              <w:tc>
                <w:tcPr>
                  <w:tcW w:w="1967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感官：符合要求；</w:t>
                  </w:r>
                </w:p>
                <w:p>
                  <w:pPr>
                    <w:pStyle w:val="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净含量：6；</w:t>
                  </w:r>
                </w:p>
                <w:p>
                  <w:pPr>
                    <w:pStyle w:val="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菌落总数＜10CFU/g；</w:t>
                  </w:r>
                </w:p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大肠菌群＜10CFU/g</w:t>
                  </w:r>
                </w:p>
              </w:tc>
              <w:tc>
                <w:tcPr>
                  <w:tcW w:w="11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245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9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1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245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9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1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大肠菌群、菌落总数表述不规范，已现场沟通。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/>
        </w:tc>
        <w:tc>
          <w:tcPr>
            <w:tcW w:w="1585" w:type="dxa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</w:tcPr>
          <w:p>
            <w:r>
              <w:rPr>
                <w:rFonts w:hint="eastAsia"/>
              </w:rPr>
              <w:t>HACCP体系验证</w:t>
            </w:r>
          </w:p>
        </w:tc>
        <w:tc>
          <w:tcPr>
            <w:tcW w:w="110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4.5  </w:t>
            </w:r>
          </w:p>
        </w:tc>
        <w:tc>
          <w:tcPr>
            <w:tcW w:w="674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验证活动策划、实施和评价程序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  <w:lang w:val="en-US" w:eastAsia="zh-CN"/>
              </w:rPr>
              <w:t>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674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</w:tcPr>
          <w:p>
            <w:r>
              <w:rPr>
                <w:rFonts w:hint="eastAsia"/>
              </w:rPr>
              <w:t>验证程序包括：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验证的依据和方法、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验证的频率、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验证的人员、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验证的人员、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验证的内容、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验证结果及采取的措施、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验证记录、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验证内容包括：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/>
          <w:p>
            <w:r>
              <w:rPr>
                <w:rFonts w:hint="eastAsia"/>
              </w:rPr>
              <w:t xml:space="preserve">a）评审监控记录以确定关键控制点处于受控状态；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b）评审纠正措施记录，包括具体的偏离、产品处置和分析，以确定偏离的根本原因；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c）校准或检查计量器具的准确性；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d）观察控制措施是否按照HACCP计划实施；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e）抽样检测验证产品的安全性；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f）环境采样和检测；          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g）HACCP体系审核。         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r>
              <w:rPr>
                <w:rFonts w:hint="eastAsia"/>
              </w:rPr>
              <w:t>验证活动采用方式：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观察、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外部审核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校准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抽样检测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记录评审 。</w:t>
            </w:r>
          </w:p>
          <w:p>
            <w:pPr>
              <w:rPr>
                <w:color w:val="0000FF"/>
              </w:rPr>
            </w:pPr>
          </w:p>
          <w:p>
            <w:r>
              <w:rPr>
                <w:rFonts w:hint="eastAsia"/>
              </w:rPr>
              <w:t>《验证控制程序》的内容包括：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内容全面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内容不全面，说明：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见《验证报告》和《检验报告》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抽取作业环境（人员、空气、工器具、接触面等）检验相关记录名称：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空气沉降记录</w:t>
            </w:r>
            <w:r>
              <w:rPr>
                <w:rFonts w:hint="eastAsia"/>
                <w:highlight w:val="none"/>
                <w:u w:val="single"/>
              </w:rPr>
              <w:t xml:space="preserve">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2439"/>
              <w:gridCol w:w="11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样品名称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243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17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2021-10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空气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菌落总数、大肠菌群</w:t>
                  </w:r>
                </w:p>
              </w:tc>
              <w:tc>
                <w:tcPr>
                  <w:tcW w:w="243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菌落总数＜10CFU/g、大肠菌群＜10CFU/g</w:t>
                  </w:r>
                </w:p>
              </w:tc>
              <w:tc>
                <w:tcPr>
                  <w:tcW w:w="117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2439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2439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2439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</w:tr>
          </w:tbl>
          <w:p>
            <w:pPr>
              <w:pStyle w:val="2"/>
            </w:pPr>
          </w:p>
          <w:p>
            <w:pPr>
              <w:numPr>
                <w:numId w:val="0"/>
              </w:numPr>
              <w:rPr>
                <w:rFonts w:hint="default" w:eastAsia="宋体"/>
                <w:color w:val="FF0000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highlight w:val="none"/>
                <w:lang w:val="en-US" w:eastAsia="zh-CN"/>
              </w:rPr>
              <w:t>抽查：人员、工器具、内包材等接触面的验证情况，发现未提供有效的验证证据；同时抽取空气的验证情况发现：提供有空气沉降检测结果，但未见判定；</w:t>
            </w:r>
          </w:p>
          <w:p>
            <w:pPr>
              <w:pStyle w:val="2"/>
            </w:pP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  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</w:rPr>
              <w:t>验证的结果需要输入到管理评审中，以确保这些重要数据资源能被适当考虑并对整个H</w:t>
            </w:r>
            <w:r>
              <w:t>ACCP</w:t>
            </w:r>
            <w:r>
              <w:rPr>
                <w:rFonts w:hint="eastAsia"/>
              </w:rPr>
              <w:t>体系持续改进其作用；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见</w:t>
            </w:r>
            <w:r>
              <w:rPr>
                <w:rFonts w:hint="eastAsia"/>
                <w:color w:val="0000FF"/>
                <w:u w:val="single"/>
              </w:rPr>
              <w:t>《管理评审》、《验证结果分析分析报告》</w:t>
            </w:r>
          </w:p>
          <w:p>
            <w:pPr>
              <w:rPr>
                <w:u w:val="single"/>
              </w:rPr>
            </w:pPr>
          </w:p>
          <w:p>
            <w:r>
              <w:rPr>
                <w:rFonts w:hint="eastAsia"/>
              </w:rPr>
              <w:t>当验证结果不符合要求时，应采取纠正措施并进行再验证。</w:t>
            </w:r>
          </w:p>
          <w:p/>
          <w:p>
            <w:r>
              <w:rPr>
                <w:rFonts w:hint="eastAsia"/>
              </w:rPr>
              <w:t>验证活动证实：</w:t>
            </w:r>
          </w:p>
          <w:p>
            <w:r>
              <w:rPr>
                <w:rFonts w:hint="eastAsia"/>
              </w:rPr>
              <w:t>—HACCP计划得以实施，并持续控制危害；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</w:t>
            </w:r>
          </w:p>
          <w:p>
            <w:r>
              <w:rPr>
                <w:rFonts w:hint="eastAsia"/>
              </w:rPr>
              <w:t xml:space="preserve">—控制措施按照预期有效控制相应危害。 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</w:t>
            </w:r>
          </w:p>
          <w:p/>
          <w:p>
            <w:r>
              <w:rPr>
                <w:rFonts w:hint="eastAsia"/>
              </w:rPr>
              <w:t>验证不应由实施监控和纠正措施的人员进行。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r>
              <w:rPr>
                <w:rFonts w:hint="eastAsia"/>
              </w:rPr>
              <w:t>如部分验证活动无法由企业内部实施，可委托具备能力的外部专家或第三方实施。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外部专家或第三方名称：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                  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外委验证的内容：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        ；</w:t>
            </w:r>
          </w:p>
          <w:p/>
          <w:p>
            <w:r>
              <w:rPr>
                <w:rFonts w:hint="eastAsia"/>
              </w:rPr>
              <w:t>应定期对HACCP体系充分性进行评审，适用时进行重新评审。</w:t>
            </w:r>
          </w:p>
        </w:tc>
        <w:tc>
          <w:tcPr>
            <w:tcW w:w="1585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  <w:shd w:val="clear" w:color="auto" w:fill="auto"/>
          </w:tcPr>
          <w:p>
            <w:bookmarkStart w:id="0" w:name="_GoBack" w:colFirst="0" w:colLast="4"/>
            <w:r>
              <w:rPr>
                <w:rFonts w:hint="eastAsia"/>
              </w:rPr>
              <w:t>不合格和纠正措施</w:t>
            </w:r>
          </w:p>
        </w:tc>
        <w:tc>
          <w:tcPr>
            <w:tcW w:w="1100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5.1 </w:t>
            </w:r>
          </w:p>
        </w:tc>
        <w:tc>
          <w:tcPr>
            <w:tcW w:w="67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《不合格控制程序》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  <w:shd w:val="clear" w:color="auto" w:fill="auto"/>
          </w:tcPr>
          <w:p/>
        </w:tc>
        <w:tc>
          <w:tcPr>
            <w:tcW w:w="1100" w:type="dxa"/>
            <w:vMerge w:val="continue"/>
            <w:shd w:val="clear" w:color="auto" w:fill="auto"/>
          </w:tcPr>
          <w:p/>
        </w:tc>
        <w:tc>
          <w:tcPr>
            <w:tcW w:w="67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5.1.1 不合格</w:t>
            </w:r>
          </w:p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抽取不合格半成品处置相关记录名称：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不合格品评审处理单</w:t>
            </w:r>
            <w:r>
              <w:rPr>
                <w:rFonts w:hint="eastAsia"/>
                <w:highlight w:val="none"/>
                <w:u w:val="single"/>
              </w:rPr>
              <w:t xml:space="preserve">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2021-10-26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咸鸭蛋/2021-10-26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生产日期喷码模糊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返工后验证合格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抽取出厂后不合格成品处置相关记录：名称：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不合格品评审处置单</w:t>
            </w:r>
            <w:r>
              <w:rPr>
                <w:rFonts w:hint="eastAsia"/>
                <w:highlight w:val="none"/>
                <w:u w:val="single"/>
              </w:rPr>
              <w:t xml:space="preserve">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2021-08-31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2021-08-26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蛋壳破损、袋子未破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客户接受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  <w:tcBorders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  <w:p/>
        </w:tc>
        <w:tc>
          <w:tcPr>
            <w:tcW w:w="1100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5.1.2 </w:t>
            </w:r>
          </w:p>
          <w:p/>
        </w:tc>
        <w:tc>
          <w:tcPr>
            <w:tcW w:w="67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《纠正措施控制程序》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  <w:shd w:val="clear" w:color="auto" w:fill="auto"/>
          </w:tcPr>
          <w:p/>
        </w:tc>
        <w:tc>
          <w:tcPr>
            <w:tcW w:w="1100" w:type="dxa"/>
            <w:vMerge w:val="continue"/>
            <w:shd w:val="clear" w:color="auto" w:fill="auto"/>
          </w:tcPr>
          <w:p/>
        </w:tc>
        <w:tc>
          <w:tcPr>
            <w:tcW w:w="67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食品安全问题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不合格品评审处理单</w:t>
            </w:r>
            <w:r>
              <w:rPr>
                <w:rFonts w:hint="eastAsia"/>
                <w:u w:val="single"/>
              </w:rPr>
              <w:t xml:space="preserve">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563"/>
              <w:gridCol w:w="1390"/>
              <w:gridCol w:w="1680"/>
              <w:gridCol w:w="2105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3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90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2021-10-27</w:t>
                  </w:r>
                </w:p>
                <w:p/>
              </w:tc>
              <w:tc>
                <w:tcPr>
                  <w:tcW w:w="1563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咸鸭蛋生产日期模糊</w:t>
                  </w:r>
                </w:p>
              </w:tc>
              <w:tc>
                <w:tcPr>
                  <w:tcW w:w="139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返工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喷码机油墨模糊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已要求现场操作工人在使用前对喷码机油墨进行确认验证，符合要求后使用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1563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0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纠正措施是否与不合格所产生的影响相适应。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不合格处置</w:t>
            </w:r>
          </w:p>
        </w:tc>
        <w:tc>
          <w:tcPr>
            <w:tcW w:w="1100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5.1.3 </w:t>
            </w:r>
          </w:p>
        </w:tc>
        <w:tc>
          <w:tcPr>
            <w:tcW w:w="67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不合格品控制程序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674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</w:tcPr>
          <w:p>
            <w:r>
              <w:rPr>
                <w:rFonts w:hint="eastAsia"/>
              </w:rPr>
              <w:t>企业应保留不合格处置记录，以作为以下证据：</w:t>
            </w:r>
          </w:p>
          <w:p>
            <w:r>
              <w:rPr>
                <w:rFonts w:hint="eastAsia"/>
              </w:rPr>
              <w:t>a）不合格的性质以及随后采取的措施；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b）纠正措施的结果。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已保留，见《不合格品评审单》</w:t>
            </w: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64FB3"/>
    <w:rsid w:val="0008296E"/>
    <w:rsid w:val="000C2DCE"/>
    <w:rsid w:val="000E6B21"/>
    <w:rsid w:val="00101728"/>
    <w:rsid w:val="001139D4"/>
    <w:rsid w:val="00186260"/>
    <w:rsid w:val="001A2D7F"/>
    <w:rsid w:val="001F7537"/>
    <w:rsid w:val="002165CB"/>
    <w:rsid w:val="002939AD"/>
    <w:rsid w:val="002A028A"/>
    <w:rsid w:val="002E67B3"/>
    <w:rsid w:val="00314AF6"/>
    <w:rsid w:val="00337922"/>
    <w:rsid w:val="00340867"/>
    <w:rsid w:val="00375754"/>
    <w:rsid w:val="00380837"/>
    <w:rsid w:val="003A198A"/>
    <w:rsid w:val="003B13B8"/>
    <w:rsid w:val="003C1754"/>
    <w:rsid w:val="003C641B"/>
    <w:rsid w:val="003C7DBF"/>
    <w:rsid w:val="003E2647"/>
    <w:rsid w:val="00410914"/>
    <w:rsid w:val="004304D8"/>
    <w:rsid w:val="00440274"/>
    <w:rsid w:val="004B42A9"/>
    <w:rsid w:val="004E3507"/>
    <w:rsid w:val="005310FB"/>
    <w:rsid w:val="00536930"/>
    <w:rsid w:val="005472E3"/>
    <w:rsid w:val="00564E53"/>
    <w:rsid w:val="005C0A06"/>
    <w:rsid w:val="005D5659"/>
    <w:rsid w:val="00600C20"/>
    <w:rsid w:val="00644FE2"/>
    <w:rsid w:val="00674E7B"/>
    <w:rsid w:val="0067640C"/>
    <w:rsid w:val="00676974"/>
    <w:rsid w:val="00687324"/>
    <w:rsid w:val="006E668E"/>
    <w:rsid w:val="006E678B"/>
    <w:rsid w:val="00737F57"/>
    <w:rsid w:val="007757F3"/>
    <w:rsid w:val="007B4D48"/>
    <w:rsid w:val="007C1B48"/>
    <w:rsid w:val="007E6AEB"/>
    <w:rsid w:val="007F652D"/>
    <w:rsid w:val="008973EE"/>
    <w:rsid w:val="008B432D"/>
    <w:rsid w:val="00971600"/>
    <w:rsid w:val="00990C06"/>
    <w:rsid w:val="009973B4"/>
    <w:rsid w:val="009C1290"/>
    <w:rsid w:val="009C28C1"/>
    <w:rsid w:val="009C5776"/>
    <w:rsid w:val="009F7EED"/>
    <w:rsid w:val="00A80636"/>
    <w:rsid w:val="00AF0AAB"/>
    <w:rsid w:val="00B4743E"/>
    <w:rsid w:val="00B843D3"/>
    <w:rsid w:val="00BC1484"/>
    <w:rsid w:val="00BF3CC7"/>
    <w:rsid w:val="00BF597E"/>
    <w:rsid w:val="00C51A36"/>
    <w:rsid w:val="00C55228"/>
    <w:rsid w:val="00C63768"/>
    <w:rsid w:val="00C9058E"/>
    <w:rsid w:val="00CD2D54"/>
    <w:rsid w:val="00CE315A"/>
    <w:rsid w:val="00D06F59"/>
    <w:rsid w:val="00D807A3"/>
    <w:rsid w:val="00D8388C"/>
    <w:rsid w:val="00DC731C"/>
    <w:rsid w:val="00E46E55"/>
    <w:rsid w:val="00E6224C"/>
    <w:rsid w:val="00E70AD6"/>
    <w:rsid w:val="00E70BFD"/>
    <w:rsid w:val="00E91025"/>
    <w:rsid w:val="00EA002E"/>
    <w:rsid w:val="00EB0164"/>
    <w:rsid w:val="00ED0F62"/>
    <w:rsid w:val="00EF2D8F"/>
    <w:rsid w:val="00F10EBC"/>
    <w:rsid w:val="00FA4815"/>
    <w:rsid w:val="00FD40FA"/>
    <w:rsid w:val="00FF6A5E"/>
    <w:rsid w:val="015D4D12"/>
    <w:rsid w:val="06266A4B"/>
    <w:rsid w:val="063C100F"/>
    <w:rsid w:val="06CD2AC4"/>
    <w:rsid w:val="08D45654"/>
    <w:rsid w:val="08EF65F2"/>
    <w:rsid w:val="0D2A3421"/>
    <w:rsid w:val="0DB258A3"/>
    <w:rsid w:val="0DB265A2"/>
    <w:rsid w:val="0E316C3F"/>
    <w:rsid w:val="0E5F120E"/>
    <w:rsid w:val="0FAE2D98"/>
    <w:rsid w:val="10064BAB"/>
    <w:rsid w:val="108219C2"/>
    <w:rsid w:val="11546D11"/>
    <w:rsid w:val="120C6352"/>
    <w:rsid w:val="12464BA6"/>
    <w:rsid w:val="133F19A9"/>
    <w:rsid w:val="145801E9"/>
    <w:rsid w:val="17995692"/>
    <w:rsid w:val="193D50BE"/>
    <w:rsid w:val="1B307FAD"/>
    <w:rsid w:val="1C2D5815"/>
    <w:rsid w:val="1CF045D9"/>
    <w:rsid w:val="1D9D3945"/>
    <w:rsid w:val="1DDF0F5A"/>
    <w:rsid w:val="1DF6153B"/>
    <w:rsid w:val="1E0D121E"/>
    <w:rsid w:val="1E15129D"/>
    <w:rsid w:val="1E2D7039"/>
    <w:rsid w:val="1E386EAC"/>
    <w:rsid w:val="1E55446A"/>
    <w:rsid w:val="1EEA26CC"/>
    <w:rsid w:val="1F24036A"/>
    <w:rsid w:val="20F174A6"/>
    <w:rsid w:val="219D36DA"/>
    <w:rsid w:val="22A25127"/>
    <w:rsid w:val="22B54B0B"/>
    <w:rsid w:val="2455723F"/>
    <w:rsid w:val="252E75E6"/>
    <w:rsid w:val="26A77D69"/>
    <w:rsid w:val="26DE579B"/>
    <w:rsid w:val="27BD6C5C"/>
    <w:rsid w:val="28380A89"/>
    <w:rsid w:val="2D176851"/>
    <w:rsid w:val="2E4419BB"/>
    <w:rsid w:val="2F216952"/>
    <w:rsid w:val="30F57479"/>
    <w:rsid w:val="30F667EB"/>
    <w:rsid w:val="31CE6892"/>
    <w:rsid w:val="32123FFF"/>
    <w:rsid w:val="329E6ECC"/>
    <w:rsid w:val="32E549D6"/>
    <w:rsid w:val="34952C24"/>
    <w:rsid w:val="35C21E9E"/>
    <w:rsid w:val="364B0246"/>
    <w:rsid w:val="374A55D1"/>
    <w:rsid w:val="38D16F63"/>
    <w:rsid w:val="39232843"/>
    <w:rsid w:val="397A6350"/>
    <w:rsid w:val="39ED37D1"/>
    <w:rsid w:val="3AA8309D"/>
    <w:rsid w:val="3AD866D8"/>
    <w:rsid w:val="3ADF3E40"/>
    <w:rsid w:val="3B021652"/>
    <w:rsid w:val="3CBC4F1E"/>
    <w:rsid w:val="3D017E9E"/>
    <w:rsid w:val="3DC72E19"/>
    <w:rsid w:val="3DFF1189"/>
    <w:rsid w:val="403C1B0A"/>
    <w:rsid w:val="40D31FBB"/>
    <w:rsid w:val="447E00C9"/>
    <w:rsid w:val="44866E1C"/>
    <w:rsid w:val="45166589"/>
    <w:rsid w:val="453F71A9"/>
    <w:rsid w:val="456314F8"/>
    <w:rsid w:val="46812352"/>
    <w:rsid w:val="474A7C94"/>
    <w:rsid w:val="484953F3"/>
    <w:rsid w:val="49FE68C7"/>
    <w:rsid w:val="4BB406DB"/>
    <w:rsid w:val="4DE13AE3"/>
    <w:rsid w:val="4E6629D2"/>
    <w:rsid w:val="50294487"/>
    <w:rsid w:val="508C34CF"/>
    <w:rsid w:val="50FA687C"/>
    <w:rsid w:val="5194269B"/>
    <w:rsid w:val="52305B85"/>
    <w:rsid w:val="525732C1"/>
    <w:rsid w:val="54B036D1"/>
    <w:rsid w:val="55022641"/>
    <w:rsid w:val="5563336E"/>
    <w:rsid w:val="56020D2D"/>
    <w:rsid w:val="56897BCB"/>
    <w:rsid w:val="5833381A"/>
    <w:rsid w:val="59097D63"/>
    <w:rsid w:val="59AF2221"/>
    <w:rsid w:val="59D33C53"/>
    <w:rsid w:val="5A1F5233"/>
    <w:rsid w:val="5A4C4364"/>
    <w:rsid w:val="5B1D5DF1"/>
    <w:rsid w:val="5B93583B"/>
    <w:rsid w:val="5BAC4CED"/>
    <w:rsid w:val="5BD142B8"/>
    <w:rsid w:val="5CA0054D"/>
    <w:rsid w:val="5D24016A"/>
    <w:rsid w:val="5EA12B9A"/>
    <w:rsid w:val="600300DE"/>
    <w:rsid w:val="61546784"/>
    <w:rsid w:val="61914B57"/>
    <w:rsid w:val="628971D1"/>
    <w:rsid w:val="64E122F1"/>
    <w:rsid w:val="667B0FB6"/>
    <w:rsid w:val="668156F0"/>
    <w:rsid w:val="66E80594"/>
    <w:rsid w:val="67E458E5"/>
    <w:rsid w:val="68522439"/>
    <w:rsid w:val="6E475FBD"/>
    <w:rsid w:val="6EDD479C"/>
    <w:rsid w:val="6F8034DB"/>
    <w:rsid w:val="6FD60296"/>
    <w:rsid w:val="7022012C"/>
    <w:rsid w:val="70273BAA"/>
    <w:rsid w:val="712E3A27"/>
    <w:rsid w:val="743E2EC4"/>
    <w:rsid w:val="74BB5781"/>
    <w:rsid w:val="750158F1"/>
    <w:rsid w:val="75FD56CB"/>
    <w:rsid w:val="76C74496"/>
    <w:rsid w:val="76CC5E9B"/>
    <w:rsid w:val="76E82337"/>
    <w:rsid w:val="7769287A"/>
    <w:rsid w:val="787A628C"/>
    <w:rsid w:val="79560518"/>
    <w:rsid w:val="7B2D180B"/>
    <w:rsid w:val="7C6427B4"/>
    <w:rsid w:val="7D216484"/>
    <w:rsid w:val="7D2C7BD6"/>
    <w:rsid w:val="7EB83CDD"/>
    <w:rsid w:val="7EE212AD"/>
    <w:rsid w:val="7F8343B2"/>
    <w:rsid w:val="7FDE5BE5"/>
    <w:rsid w:val="7FFB2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156" w:beforeLines="50" w:after="156" w:afterLines="50" w:line="300" w:lineRule="auto"/>
      <w:outlineLvl w:val="2"/>
    </w:pPr>
    <w:rPr>
      <w:rFonts w:ascii="黑体" w:hAnsi="宋体" w:eastAsia="黑体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adjustRightInd w:val="0"/>
      <w:snapToGrid w:val="0"/>
      <w:spacing w:before="25" w:after="25" w:line="360" w:lineRule="auto"/>
      <w:ind w:firstLine="540"/>
    </w:pPr>
    <w:rPr>
      <w:rFonts w:ascii="宋体" w:hAnsi="宋体"/>
      <w:kern w:val="0"/>
      <w:sz w:val="28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纯文本1"/>
    <w:basedOn w:val="1"/>
    <w:link w:val="16"/>
    <w:qFormat/>
    <w:uiPriority w:val="0"/>
    <w:rPr>
      <w:rFonts w:ascii="宋体" w:hAnsi="Courier New"/>
    </w:rPr>
  </w:style>
  <w:style w:type="character" w:customStyle="1" w:styleId="16">
    <w:name w:val="纯文本 字符"/>
    <w:link w:val="15"/>
    <w:qFormat/>
    <w:uiPriority w:val="0"/>
    <w:rPr>
      <w:rFonts w:ascii="宋体" w:hAnsi="Courier New" w:eastAsia="宋体" w:cs="Times New Roman"/>
      <w:kern w:val="2"/>
      <w:sz w:val="21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8252C2-83F8-4CF2-8FAF-4DB1C31C54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62</Pages>
  <Words>5431</Words>
  <Characters>30962</Characters>
  <Lines>258</Lines>
  <Paragraphs>72</Paragraphs>
  <TotalTime>1</TotalTime>
  <ScaleCrop>false</ScaleCrop>
  <LinksUpToDate>false</LinksUpToDate>
  <CharactersWithSpaces>36321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2021-10-31T09:38:34Z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7516F9F5CE9A445989B0615A5D5D360C</vt:lpwstr>
  </property>
</Properties>
</file>