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0104-2017-2019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沈阳北方防爆股份有限公司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2019年11月21日 上午至2019年11月21日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