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b/>
          <w:bCs/>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上海净卓环保科技有限公司</w:t>
      </w:r>
      <w:bookmarkEnd w:id="1"/>
    </w:p>
    <w:p>
      <w:pPr>
        <w:spacing w:line="360" w:lineRule="auto"/>
        <w:jc w:val="left"/>
        <w:rPr>
          <w:rFonts w:hint="default" w:ascii="宋体" w:hAnsi="宋体" w:eastAsiaTheme="minorEastAsia"/>
          <w:b/>
          <w:bCs/>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b/>
          <w:bCs/>
          <w:sz w:val="32"/>
          <w:u w:val="single"/>
        </w:rPr>
        <w:t>0172-2020-2021</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0172-2020-2021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上海净卓环保科技有限公司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靳兰娇</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ISC-2020-0827</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2025-11-04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 xml:space="preserve">2021年10月27日 </w:t>
            </w:r>
            <w:bookmarkEnd w:id="9"/>
            <w:r>
              <w:rPr>
                <w:rFonts w:hint="eastAsia" w:cs="宋体" w:asciiTheme="minorEastAsia" w:hAnsiTheme="minorEastAsia"/>
                <w:kern w:val="0"/>
                <w:szCs w:val="21"/>
                <w:lang w:val="en-US" w:eastAsia="zh-CN"/>
              </w:rPr>
              <w:t>至2021年10月28日上午</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numPr>
                <w:ilvl w:val="0"/>
                <w:numId w:val="0"/>
              </w:numPr>
              <w:tabs>
                <w:tab w:val="left" w:pos="880"/>
              </w:tabs>
              <w:autoSpaceDE w:val="0"/>
              <w:autoSpaceDN w:val="0"/>
              <w:adjustRightInd w:val="0"/>
              <w:spacing w:before="35" w:line="276" w:lineRule="auto"/>
              <w:ind w:right="161" w:rightChars="0"/>
              <w:rPr>
                <w:rFonts w:hint="eastAsia" w:ascii="宋体" w:hAnsi="宋体"/>
                <w:color w:val="auto"/>
                <w:szCs w:val="21"/>
                <w:lang w:val="en-US" w:eastAsia="zh-CN"/>
              </w:rPr>
            </w:pPr>
            <w:r>
              <w:rPr>
                <w:rFonts w:hint="eastAsia" w:ascii="宋体" w:hAnsi="宋体"/>
                <w:color w:val="auto"/>
                <w:szCs w:val="21"/>
                <w:lang w:val="en-US" w:eastAsia="zh-CN"/>
              </w:rPr>
              <w:t>黄金荣</w:t>
            </w:r>
          </w:p>
          <w:p>
            <w:pPr>
              <w:numPr>
                <w:ilvl w:val="0"/>
                <w:numId w:val="1"/>
              </w:numPr>
              <w:tabs>
                <w:tab w:val="left" w:pos="880"/>
              </w:tabs>
              <w:autoSpaceDE w:val="0"/>
              <w:autoSpaceDN w:val="0"/>
              <w:adjustRightInd w:val="0"/>
              <w:spacing w:before="35" w:line="276" w:lineRule="auto"/>
              <w:ind w:right="161" w:rightChars="0"/>
              <w:rPr>
                <w:rFonts w:ascii="宋体" w:hAnsi="宋体"/>
                <w:color w:val="000000"/>
                <w:szCs w:val="21"/>
                <w:shd w:val="clear" w:color="auto" w:fill="auto"/>
              </w:rPr>
            </w:pPr>
            <w:r>
              <w:rPr>
                <w:rFonts w:ascii="宋体" w:hAnsi="宋体"/>
                <w:color w:val="000000"/>
                <w:szCs w:val="21"/>
                <w:shd w:val="clear" w:color="auto" w:fill="auto"/>
              </w:rPr>
              <w:t>M1MMS-1227641</w:t>
            </w:r>
          </w:p>
          <w:p>
            <w:pPr>
              <w:numPr>
                <w:ilvl w:val="0"/>
                <w:numId w:val="1"/>
              </w:numPr>
              <w:tabs>
                <w:tab w:val="left" w:pos="880"/>
              </w:tabs>
              <w:autoSpaceDE w:val="0"/>
              <w:autoSpaceDN w:val="0"/>
              <w:adjustRightInd w:val="0"/>
              <w:spacing w:before="35" w:line="276" w:lineRule="auto"/>
              <w:ind w:right="161" w:rightChars="0"/>
              <w:rPr>
                <w:rFonts w:hint="eastAsia" w:cs="宋体" w:asciiTheme="minorEastAsia" w:hAnsiTheme="minorEastAsia" w:eastAsiaTheme="minorEastAsia"/>
                <w:kern w:val="0"/>
                <w:szCs w:val="21"/>
                <w:lang w:eastAsia="zh-CN"/>
              </w:rPr>
            </w:pPr>
            <w:r>
              <w:rPr>
                <w:rFonts w:hint="eastAsia" w:ascii="宋体" w:hAnsi="宋体"/>
                <w:color w:val="000000"/>
                <w:szCs w:val="21"/>
              </w:rPr>
              <w:t>ISC[S]0062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eastAsia"/>
                <w:szCs w:val="21"/>
                <w:lang w:val="en-US" w:eastAsia="zh-CN"/>
              </w:rPr>
            </w:pPr>
            <w:r>
              <w:rPr>
                <w:rFonts w:hint="eastAsia"/>
                <w:szCs w:val="21"/>
                <w:lang w:val="en-US" w:eastAsia="zh-CN"/>
              </w:rPr>
              <w:t>管理层/管理者代表</w:t>
            </w:r>
          </w:p>
          <w:p>
            <w:pPr>
              <w:rPr>
                <w:rFonts w:hint="eastAsia"/>
                <w:szCs w:val="21"/>
                <w:lang w:val="en-US" w:eastAsia="zh-CN"/>
              </w:rPr>
            </w:pPr>
            <w:r>
              <w:rPr>
                <w:rFonts w:hint="eastAsia"/>
                <w:szCs w:val="21"/>
                <w:lang w:val="en-US" w:eastAsia="zh-CN"/>
              </w:rPr>
              <w:t>质量部、检测技术部、市场部</w:t>
            </w:r>
          </w:p>
          <w:p>
            <w:pPr>
              <w:rPr>
                <w:rFonts w:cs="宋体" w:asciiTheme="minorEastAsia" w:hAnsiTheme="minorEastAsia"/>
                <w:kern w:val="0"/>
                <w:szCs w:val="21"/>
              </w:rPr>
            </w:pPr>
            <w:r>
              <w:rPr>
                <w:rFonts w:hint="eastAsia"/>
                <w:szCs w:val="21"/>
                <w:lang w:val="en-US" w:eastAsia="zh-CN"/>
              </w:rPr>
              <w:t>办公室</w:t>
            </w:r>
          </w:p>
        </w:tc>
      </w:tr>
    </w:tbl>
    <w:p>
      <w:pPr>
        <w:widowControl/>
        <w:numPr>
          <w:ilvl w:val="0"/>
          <w:numId w:val="2"/>
        </w:numPr>
        <w:spacing w:line="360" w:lineRule="auto"/>
        <w:rPr>
          <w:rFonts w:hint="eastAsia" w:cs="宋体" w:asciiTheme="minorEastAsia" w:hAnsiTheme="minorEastAsia"/>
          <w:bCs/>
          <w:color w:val="auto"/>
          <w:kern w:val="0"/>
          <w:szCs w:val="21"/>
        </w:rPr>
      </w:pPr>
      <w:r>
        <w:rPr>
          <w:rFonts w:cs="宋体" w:asciiTheme="minorEastAsia" w:hAnsiTheme="minorEastAsia"/>
          <w:b/>
          <w:bCs/>
          <w:color w:val="auto"/>
          <w:kern w:val="0"/>
          <w:sz w:val="24"/>
          <w:szCs w:val="24"/>
        </w:rPr>
        <w:t>监督审核</w:t>
      </w:r>
      <w:r>
        <w:rPr>
          <w:rFonts w:hint="eastAsia" w:cs="宋体" w:asciiTheme="minorEastAsia" w:hAnsiTheme="minorEastAsia"/>
          <w:b/>
          <w:bCs/>
          <w:color w:val="auto"/>
          <w:kern w:val="0"/>
          <w:sz w:val="24"/>
          <w:szCs w:val="24"/>
        </w:rPr>
        <w:t>内容</w:t>
      </w:r>
      <w:r>
        <w:rPr>
          <w:rFonts w:hint="eastAsia" w:cs="宋体" w:asciiTheme="minorEastAsia" w:hAnsiTheme="minorEastAsia"/>
          <w:bCs/>
          <w:color w:val="auto"/>
          <w:kern w:val="0"/>
          <w:sz w:val="24"/>
          <w:szCs w:val="24"/>
        </w:rPr>
        <w:t>：</w:t>
      </w:r>
    </w:p>
    <w:p>
      <w:pPr>
        <w:widowControl/>
        <w:numPr>
          <w:ilvl w:val="0"/>
          <w:numId w:val="0"/>
        </w:numPr>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widowControl/>
        <w:numPr>
          <w:ilvl w:val="0"/>
          <w:numId w:val="0"/>
        </w:num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一年来，公司日常运行中</w:t>
      </w:r>
      <w:r>
        <w:rPr>
          <w:rFonts w:hint="eastAsia" w:ascii="宋体" w:hAnsi="宋体" w:eastAsia="宋体" w:cs="宋体"/>
          <w:bCs/>
          <w:color w:val="auto"/>
          <w:kern w:val="0"/>
          <w:sz w:val="24"/>
          <w:szCs w:val="24"/>
          <w:lang w:val="en-US" w:eastAsia="zh-CN"/>
        </w:rPr>
        <w:t>检测</w:t>
      </w:r>
      <w:r>
        <w:rPr>
          <w:rFonts w:hint="eastAsia" w:ascii="宋体" w:hAnsi="宋体" w:eastAsia="宋体" w:cs="宋体"/>
          <w:bCs/>
          <w:color w:val="auto"/>
          <w:kern w:val="0"/>
          <w:sz w:val="24"/>
          <w:szCs w:val="24"/>
        </w:rPr>
        <w:t>、安全、及管理方面比去年都有很大提升，企业制定了多项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1.1 </w:t>
      </w:r>
      <w:r>
        <w:rPr>
          <w:rFonts w:hint="eastAsia" w:asciiTheme="majorEastAsia" w:hAnsiTheme="majorEastAsia" w:eastAsiaTheme="majorEastAsia" w:cstheme="majorEastAsia"/>
          <w:bCs/>
          <w:color w:val="auto"/>
          <w:kern w:val="0"/>
          <w:sz w:val="24"/>
          <w:szCs w:val="24"/>
        </w:rPr>
        <w:t>公司测量管理体系</w:t>
      </w:r>
      <w:r>
        <w:rPr>
          <w:rFonts w:hint="eastAsia" w:asciiTheme="majorEastAsia" w:hAnsiTheme="majorEastAsia" w:eastAsiaTheme="majorEastAsia" w:cstheme="majorEastAsia"/>
          <w:bCs/>
          <w:color w:val="auto"/>
          <w:kern w:val="0"/>
          <w:sz w:val="24"/>
          <w:szCs w:val="24"/>
          <w:lang w:val="en-US" w:eastAsia="zh-CN"/>
        </w:rPr>
        <w:t>通过</w:t>
      </w:r>
      <w:r>
        <w:rPr>
          <w:rFonts w:hint="eastAsia" w:asciiTheme="majorEastAsia" w:hAnsiTheme="majorEastAsia" w:eastAsiaTheme="majorEastAsia" w:cstheme="majorEastAsia"/>
          <w:bCs/>
          <w:color w:val="auto"/>
          <w:kern w:val="0"/>
          <w:sz w:val="24"/>
          <w:szCs w:val="24"/>
        </w:rPr>
        <w:t>认证后，</w:t>
      </w:r>
      <w:r>
        <w:rPr>
          <w:rFonts w:hint="eastAsia" w:ascii="宋体" w:hAnsi="宋体" w:eastAsia="宋体" w:cs="宋体"/>
          <w:bCs/>
          <w:color w:val="auto"/>
          <w:kern w:val="0"/>
          <w:sz w:val="24"/>
          <w:szCs w:val="24"/>
          <w:lang w:val="en-US" w:eastAsia="zh-CN"/>
        </w:rPr>
        <w:t>一年来企业</w:t>
      </w:r>
      <w:r>
        <w:rPr>
          <w:rFonts w:hint="eastAsia" w:ascii="宋体" w:hAnsi="宋体" w:eastAsia="宋体" w:cs="宋体"/>
          <w:bCs/>
          <w:color w:val="auto"/>
          <w:kern w:val="0"/>
          <w:sz w:val="24"/>
          <w:szCs w:val="24"/>
        </w:rPr>
        <w:t>重点</w:t>
      </w:r>
      <w:r>
        <w:rPr>
          <w:rFonts w:hint="eastAsia" w:ascii="宋体" w:hAnsi="宋体" w:eastAsia="宋体" w:cs="宋体"/>
          <w:bCs/>
          <w:color w:val="auto"/>
          <w:kern w:val="0"/>
          <w:sz w:val="24"/>
          <w:szCs w:val="24"/>
          <w:lang w:val="en-US" w:eastAsia="zh-CN"/>
        </w:rPr>
        <w:t>关注水和废水、固体废物、噪声、空气和废气、土壤和沉积物</w:t>
      </w:r>
      <w:r>
        <w:rPr>
          <w:rFonts w:hint="eastAsia" w:ascii="宋体" w:hAnsi="宋体" w:eastAsia="宋体" w:cs="宋体"/>
          <w:bCs/>
          <w:color w:val="auto"/>
          <w:kern w:val="0"/>
          <w:sz w:val="24"/>
          <w:szCs w:val="24"/>
        </w:rPr>
        <w:t>检验等测量过程及测量设备量值溯源。</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测量设备</w:t>
      </w:r>
      <w:r>
        <w:rPr>
          <w:rFonts w:hint="eastAsia" w:ascii="宋体" w:hAnsi="宋体" w:eastAsia="宋体" w:cs="宋体"/>
          <w:bCs/>
          <w:color w:val="auto"/>
          <w:kern w:val="0"/>
          <w:sz w:val="24"/>
          <w:szCs w:val="24"/>
          <w:lang w:val="en-US" w:eastAsia="zh-CN"/>
        </w:rPr>
        <w:t>按照检定/校准计划</w:t>
      </w:r>
      <w:r>
        <w:rPr>
          <w:rFonts w:hint="eastAsia" w:ascii="宋体" w:hAnsi="宋体" w:eastAsia="宋体" w:cs="宋体"/>
          <w:bCs/>
          <w:color w:val="auto"/>
          <w:kern w:val="0"/>
          <w:sz w:val="24"/>
          <w:szCs w:val="24"/>
        </w:rPr>
        <w:t>送到有资质的检定/校准机构检定/校准。</w:t>
      </w:r>
      <w:r>
        <w:rPr>
          <w:rFonts w:hint="eastAsia" w:ascii="宋体" w:hAnsi="宋体" w:eastAsia="宋体" w:cs="宋体"/>
          <w:bCs/>
          <w:color w:val="auto"/>
          <w:kern w:val="0"/>
          <w:sz w:val="24"/>
          <w:szCs w:val="24"/>
          <w:lang w:val="en-US" w:eastAsia="zh-CN"/>
        </w:rPr>
        <w:t>对校准后的测量设备进行验证。对关键测量过程进行</w:t>
      </w:r>
      <w:r>
        <w:rPr>
          <w:rFonts w:hint="eastAsia" w:ascii="宋体" w:hAnsi="宋体" w:eastAsia="宋体" w:cs="宋体"/>
          <w:bCs/>
          <w:color w:val="auto"/>
          <w:kern w:val="0"/>
          <w:sz w:val="24"/>
          <w:szCs w:val="24"/>
        </w:rPr>
        <w:t>不确定度评定、有效性确认</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对关键测量过程应用统计技术按照规定的监视周期进行</w:t>
      </w:r>
      <w:r>
        <w:rPr>
          <w:rFonts w:hint="eastAsia" w:ascii="宋体" w:hAnsi="宋体" w:eastAsia="宋体" w:cs="宋体"/>
          <w:bCs/>
          <w:color w:val="auto"/>
          <w:kern w:val="0"/>
          <w:sz w:val="24"/>
          <w:szCs w:val="24"/>
        </w:rPr>
        <w:t>监视与统计</w:t>
      </w:r>
      <w:r>
        <w:rPr>
          <w:rFonts w:hint="eastAsia" w:ascii="宋体" w:hAnsi="宋体" w:eastAsia="宋体" w:cs="宋体"/>
          <w:bCs/>
          <w:color w:val="auto"/>
          <w:kern w:val="0"/>
          <w:sz w:val="24"/>
          <w:szCs w:val="24"/>
          <w:lang w:eastAsia="zh-CN"/>
        </w:rPr>
        <w:t>。</w:t>
      </w:r>
    </w:p>
    <w:p>
      <w:pPr>
        <w:spacing w:line="360" w:lineRule="auto"/>
        <w:rPr>
          <w:rFonts w:hint="default" w:asciiTheme="majorEastAsia" w:hAnsiTheme="majorEastAsia" w:eastAsiaTheme="majorEastAsia" w:cstheme="majorEastAsia"/>
          <w:bCs/>
          <w:color w:val="00B0F0"/>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1.2</w:t>
      </w:r>
      <w:r>
        <w:rPr>
          <w:rFonts w:hint="eastAsia" w:asciiTheme="majorEastAsia" w:hAnsiTheme="majorEastAsia" w:eastAsiaTheme="majorEastAsia" w:cstheme="majorEastAsia"/>
          <w:bCs/>
          <w:color w:val="auto"/>
          <w:kern w:val="0"/>
          <w:sz w:val="24"/>
          <w:szCs w:val="24"/>
        </w:rPr>
        <w:t>公司领导层重视测量管理体系各项工作，配备完善了相关资源和设备</w:t>
      </w:r>
      <w:r>
        <w:rPr>
          <w:rFonts w:hint="eastAsia" w:asciiTheme="majorEastAsia" w:hAnsiTheme="majorEastAsia" w:eastAsiaTheme="majorEastAsia" w:cstheme="majorEastAsia"/>
          <w:bCs/>
          <w:color w:val="auto"/>
          <w:kern w:val="0"/>
          <w:sz w:val="24"/>
          <w:szCs w:val="24"/>
          <w:lang w:val="en-US" w:eastAsia="zh-CN"/>
        </w:rPr>
        <w:t>。今年企业新购置了液相色谱仪、原子吸收分光光度计、离子色谱仪等20余台测量设备。增强了企业的测量能力。企业根据测量体系质量方针，</w:t>
      </w:r>
      <w:r>
        <w:rPr>
          <w:rFonts w:hint="eastAsia" w:asciiTheme="majorEastAsia" w:hAnsiTheme="majorEastAsia" w:eastAsiaTheme="majorEastAsia" w:cstheme="majorEastAsia"/>
          <w:bCs/>
          <w:color w:val="auto"/>
          <w:kern w:val="0"/>
          <w:sz w:val="24"/>
          <w:szCs w:val="24"/>
        </w:rPr>
        <w:t>公司制定了</w:t>
      </w:r>
      <w:r>
        <w:rPr>
          <w:rFonts w:hint="eastAsia" w:asciiTheme="majorEastAsia" w:hAnsiTheme="majorEastAsia" w:eastAsiaTheme="majorEastAsia" w:cstheme="majorEastAsia"/>
          <w:bCs/>
          <w:color w:val="auto"/>
          <w:kern w:val="0"/>
          <w:sz w:val="24"/>
          <w:szCs w:val="24"/>
          <w:lang w:val="en-US" w:eastAsia="zh-CN"/>
        </w:rPr>
        <w:t>6</w:t>
      </w:r>
      <w:r>
        <w:rPr>
          <w:rFonts w:hint="eastAsia" w:asciiTheme="majorEastAsia" w:hAnsiTheme="majorEastAsia" w:eastAsiaTheme="majorEastAsia" w:cstheme="majorEastAsia"/>
          <w:bCs/>
          <w:color w:val="auto"/>
          <w:kern w:val="0"/>
          <w:sz w:val="24"/>
          <w:szCs w:val="24"/>
        </w:rPr>
        <w:t>项质量目标，质量目标有具体考核指标可测量，</w:t>
      </w:r>
      <w:r>
        <w:rPr>
          <w:rFonts w:hint="eastAsia" w:asciiTheme="majorEastAsia" w:hAnsiTheme="majorEastAsia" w:eastAsiaTheme="majorEastAsia" w:cstheme="majorEastAsia"/>
          <w:bCs/>
          <w:color w:val="auto"/>
          <w:kern w:val="0"/>
          <w:sz w:val="24"/>
          <w:szCs w:val="24"/>
          <w:lang w:val="en-US" w:eastAsia="zh-CN"/>
        </w:rPr>
        <w:t>并分解到各部门经统计2021年1月至9月</w:t>
      </w:r>
      <w:r>
        <w:rPr>
          <w:rFonts w:hint="eastAsia" w:asciiTheme="majorEastAsia" w:hAnsiTheme="majorEastAsia" w:eastAsiaTheme="majorEastAsia" w:cstheme="majorEastAsia"/>
          <w:bCs/>
          <w:color w:val="auto"/>
          <w:kern w:val="0"/>
          <w:sz w:val="24"/>
          <w:szCs w:val="24"/>
        </w:rPr>
        <w:t>质量目标</w:t>
      </w:r>
      <w:r>
        <w:rPr>
          <w:rFonts w:hint="eastAsia" w:asciiTheme="majorEastAsia" w:hAnsiTheme="majorEastAsia" w:eastAsiaTheme="majorEastAsia" w:cstheme="majorEastAsia"/>
          <w:bCs/>
          <w:color w:val="auto"/>
          <w:kern w:val="0"/>
          <w:sz w:val="24"/>
          <w:szCs w:val="24"/>
          <w:lang w:val="en-US" w:eastAsia="zh-CN"/>
        </w:rPr>
        <w:t>全部</w:t>
      </w:r>
      <w:r>
        <w:rPr>
          <w:rFonts w:hint="eastAsia" w:asciiTheme="majorEastAsia" w:hAnsiTheme="majorEastAsia" w:eastAsiaTheme="majorEastAsia" w:cstheme="majorEastAsia"/>
          <w:bCs/>
          <w:color w:val="auto"/>
          <w:kern w:val="0"/>
          <w:sz w:val="24"/>
          <w:szCs w:val="24"/>
        </w:rPr>
        <w:t>完成</w:t>
      </w:r>
      <w:r>
        <w:rPr>
          <w:rFonts w:hint="eastAsia" w:asciiTheme="majorEastAsia" w:hAnsiTheme="majorEastAsia" w:eastAsiaTheme="majorEastAsia" w:cstheme="majorEastAsia"/>
          <w:bCs/>
          <w:color w:val="auto"/>
          <w:kern w:val="0"/>
          <w:sz w:val="24"/>
          <w:szCs w:val="24"/>
          <w:lang w:val="en-US" w:eastAsia="zh-CN"/>
        </w:rPr>
        <w:t>。测量管理体系的符合性、有效性及持续改进，符合GB/T 19022-2003标准要求，公司测量管理体系正常有序运行，较好地满足了公司可持续发展的需要。企业效益逐年提高。</w:t>
      </w:r>
    </w:p>
    <w:p>
      <w:pPr>
        <w:spacing w:line="360" w:lineRule="auto"/>
        <w:rPr>
          <w:rFonts w:hint="eastAsia" w:asciiTheme="majorEastAsia" w:hAnsiTheme="majorEastAsia" w:eastAsiaTheme="majorEastAsia" w:cstheme="majorEastAsia"/>
          <w:color w:val="0000FF"/>
          <w:sz w:val="24"/>
          <w:szCs w:val="24"/>
        </w:rPr>
      </w:pP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宋体" w:hAnsi="宋体" w:eastAsia="宋体" w:cs="宋体"/>
          <w:bCs/>
          <w:color w:val="auto"/>
          <w:kern w:val="0"/>
          <w:sz w:val="24"/>
          <w:szCs w:val="24"/>
          <w:lang w:val="en-US" w:eastAsia="zh-CN"/>
        </w:rPr>
        <w:t>2</w:t>
      </w:r>
      <w:r>
        <w:rPr>
          <w:rFonts w:hint="eastAsia" w:asciiTheme="majorEastAsia" w:hAnsiTheme="majorEastAsia" w:eastAsiaTheme="majorEastAsia" w:cstheme="majorEastAsia"/>
          <w:bCs/>
          <w:color w:val="auto"/>
          <w:kern w:val="0"/>
          <w:sz w:val="24"/>
          <w:szCs w:val="24"/>
          <w:lang w:val="en-US" w:eastAsia="zh-CN"/>
        </w:rPr>
        <w:t>.1公司于2021年10月11日组织了公司测量管理体系内审，内审分2个组，对公司5个部门进行了审核，共开出了1个不符合项，到目前为止不符合项已全部完成整改。</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2.2企业于2021年10月21日开展了单体系管理评审，会议由公司总经理朱博华主持，由质量部汇报了体系运行情况。其他部门汇报了本部门分管的测量体系相关工作。会议肯定了公司测量管理体系的充分性、有效性和适宜性。形成了管理评审报告。</w:t>
      </w:r>
    </w:p>
    <w:p>
      <w:pPr>
        <w:spacing w:line="360" w:lineRule="auto"/>
        <w:rPr>
          <w:rFonts w:hint="eastAsia" w:asciiTheme="majorEastAsia" w:hAnsiTheme="majorEastAsia" w:eastAsiaTheme="majorEastAsia" w:cstheme="majorEastAsia"/>
          <w:bCs/>
          <w:color w:val="00B0F0"/>
          <w:kern w:val="0"/>
          <w:sz w:val="24"/>
          <w:szCs w:val="24"/>
          <w:lang w:val="en-US" w:eastAsia="zh-CN"/>
        </w:rPr>
      </w:pP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3.为持续改进而策划的活动的进展，企业对识别的关键测量过程进行了持续的控制，企业悬浮物测量过程为关键测量过程，测量过程识别、测量设备配备、检定/校准、验证，测量过程有效性确认，测量不确定度评定、测量过程控制和监视满足要求。企业没有新增关键测量过程。</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a)计量要求的导出和验证：查悬浮物测量过程，计量要求导出方法正确，验证满足测量过程要求。祥见附件《计量要求导出及验证记录表》</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b)测量不确定评定：查悬浮物测量过程，测量不确定度评定方法正确。祥见附件《测量不确定度评定》</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c)有效性确认：查悬浮物测量过程有效性确认，满足要求。祥见附件《测量过程有效性确认》</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d)测量过程的控制：查悬浮物测量过程，编制了控制规范，对测量人员、测量设备、测量环境进行控制，满足要求。</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e)测量过程的监视：查悬浮物测量过程，采用统计技术进行控制和监视测量过程。祥见《测量过程监视记录》</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f)测量设备的溯源：公司未建最高计量标准，企业测量设备由质量部负责组织委外检定/校准。公司测量设备委托上海市质量监督检验技术研究院、上海市计量测试技术研究院等机构检定/校准，抽查8台测量设备检定/校准证书，溯源满足要求。祥见《测量设备溯源检查表》</w:t>
      </w:r>
    </w:p>
    <w:p>
      <w:pPr>
        <w:spacing w:line="360" w:lineRule="auto"/>
        <w:rPr>
          <w:rFonts w:hint="eastAsia" w:asciiTheme="majorEastAsia" w:hAnsiTheme="majorEastAsia" w:eastAsiaTheme="majorEastAsia" w:cstheme="majorEastAsia"/>
          <w:bCs/>
          <w:color w:val="00B0F0"/>
          <w:kern w:val="0"/>
          <w:sz w:val="24"/>
          <w:szCs w:val="24"/>
          <w:lang w:val="en-US" w:eastAsia="zh-CN"/>
        </w:rPr>
      </w:pP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能源管理情况：企业主要消耗电能、水。2021年1月-2021年9月消耗电量63868kwh，水237吨，企业不是重点能耗单位</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5.对认证审核时提出的的不符合项的纠正措施情况： </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5.1 2020年初次审核发现1个不符合项。</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查：检测技术部理化一室，发现一滴定管编号201903151J没有贴计量合格标识</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不符合认证</w:t>
      </w:r>
      <w:r>
        <w:rPr>
          <w:rFonts w:hint="eastAsia" w:asciiTheme="majorEastAsia" w:hAnsiTheme="majorEastAsia" w:eastAsiaTheme="majorEastAsia" w:cstheme="majorEastAsia"/>
          <w:bCs/>
          <w:color w:val="auto"/>
          <w:kern w:val="0"/>
          <w:sz w:val="24"/>
          <w:szCs w:val="24"/>
          <w:lang w:val="zh-CN" w:eastAsia="zh-CN"/>
        </w:rPr>
        <w:t>审核准则</w:t>
      </w:r>
      <w:r>
        <w:rPr>
          <w:rFonts w:hint="eastAsia" w:asciiTheme="majorEastAsia" w:hAnsiTheme="majorEastAsia" w:eastAsiaTheme="majorEastAsia" w:cstheme="majorEastAsia"/>
          <w:bCs/>
          <w:color w:val="auto"/>
          <w:kern w:val="0"/>
          <w:sz w:val="24"/>
          <w:szCs w:val="24"/>
          <w:lang w:val="en-US" w:eastAsia="zh-CN"/>
        </w:rPr>
        <w:t>条款号：GB/T19022-2003标准6.2.4条款。</w:t>
      </w:r>
    </w:p>
    <w:p>
      <w:pPr>
        <w:spacing w:line="360" w:lineRule="auto"/>
        <w:rPr>
          <w:rFonts w:hint="eastAsia" w:ascii="宋体" w:hAnsi="宋体" w:eastAsia="宋体" w:cs="宋体"/>
          <w:bCs/>
          <w:color w:val="auto"/>
          <w:kern w:val="0"/>
          <w:sz w:val="24"/>
          <w:szCs w:val="24"/>
          <w:lang w:eastAsia="zh-CN"/>
        </w:rPr>
      </w:pPr>
      <w:r>
        <w:rPr>
          <w:rFonts w:hint="eastAsia" w:asciiTheme="majorEastAsia" w:hAnsiTheme="majorEastAsia" w:eastAsiaTheme="majorEastAsia" w:cstheme="majorEastAsia"/>
          <w:bCs/>
          <w:color w:val="auto"/>
          <w:kern w:val="0"/>
          <w:sz w:val="24"/>
          <w:szCs w:val="24"/>
          <w:lang w:val="en-US" w:eastAsia="zh-CN"/>
        </w:rPr>
        <w:t>企业已制定纠正措施，实施了整改，经验证，同意关闭该不符合项。</w:t>
      </w:r>
    </w:p>
    <w:p>
      <w:pPr>
        <w:widowControl/>
        <w:spacing w:line="360" w:lineRule="auto"/>
        <w:ind w:firstLine="480" w:firstLineChars="200"/>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对投诉的处理情况：</w:t>
      </w: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ind w:firstLine="480" w:firstLineChars="200"/>
        <w:rPr>
          <w:rFonts w:hint="eastAsia" w:ascii="宋体" w:hAnsi="宋体"/>
          <w:color w:val="auto"/>
          <w:sz w:val="24"/>
          <w:szCs w:val="24"/>
          <w:lang w:val="en-US" w:eastAsia="zh-CN"/>
        </w:rPr>
      </w:pP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7.测量管理体系在实现获证客户目标方面的有效性及持续的运作控制情况：</w:t>
      </w:r>
    </w:p>
    <w:p>
      <w:pPr>
        <w:spacing w:line="360" w:lineRule="auto"/>
        <w:rPr>
          <w:rFonts w:hint="eastAsia" w:asciiTheme="majorEastAsia" w:hAnsiTheme="majorEastAsia" w:eastAsiaTheme="majorEastAsia" w:cstheme="majorEastAsia"/>
          <w:bCs/>
          <w:color w:val="auto"/>
          <w:kern w:val="0"/>
          <w:sz w:val="24"/>
          <w:szCs w:val="24"/>
          <w:lang w:val="en-US" w:eastAsia="zh-CN"/>
        </w:rPr>
      </w:pPr>
      <w:r>
        <w:rPr>
          <w:rFonts w:hint="eastAsia" w:asciiTheme="majorEastAsia" w:hAnsiTheme="majorEastAsia" w:eastAsiaTheme="majorEastAsia" w:cstheme="majorEastAsia"/>
          <w:bCs/>
          <w:color w:val="auto"/>
          <w:kern w:val="0"/>
          <w:sz w:val="24"/>
          <w:szCs w:val="24"/>
          <w:lang w:val="en-US" w:eastAsia="zh-CN"/>
        </w:rPr>
        <w:t>企业根据测量体系质量方针，公司制定了6项质量目标，质量目标有具体考核指标可测量，并分解到各部门经统计2021年1月至9月质量目标全部完成。企业测量体系进一步满足顾客、质量、服务等方面的要求，符合GB/T 19022-2003标准要求。使其更具有动态性和适宜性、有效性及对持续运作的控制。</w:t>
      </w:r>
    </w:p>
    <w:p>
      <w:pPr>
        <w:widowControl/>
        <w:spacing w:line="360" w:lineRule="auto"/>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对企业组织任何变更的审核</w:t>
      </w:r>
    </w:p>
    <w:p>
      <w:pPr>
        <w:widowControl/>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rPr>
        <w:t>企业营业执</w:t>
      </w:r>
      <w:r>
        <w:rPr>
          <w:rFonts w:hint="eastAsia" w:ascii="宋体" w:hAnsi="宋体"/>
          <w:color w:val="auto"/>
          <w:sz w:val="24"/>
          <w:szCs w:val="24"/>
          <w:lang w:val="en-US" w:eastAsia="zh-CN"/>
        </w:rPr>
        <w:t>没有变更</w:t>
      </w:r>
      <w:r>
        <w:rPr>
          <w:rFonts w:hint="eastAsia" w:ascii="宋体" w:hAnsi="宋体"/>
          <w:color w:val="auto"/>
          <w:sz w:val="24"/>
          <w:szCs w:val="24"/>
        </w:rPr>
        <w:t>。</w:t>
      </w:r>
      <w:r>
        <w:rPr>
          <w:rFonts w:hint="eastAsia" w:ascii="宋体" w:hAnsi="宋体"/>
          <w:color w:val="auto"/>
          <w:sz w:val="24"/>
          <w:szCs w:val="24"/>
          <w:lang w:val="en-US" w:eastAsia="zh-CN"/>
        </w:rPr>
        <w:t>企业组织机构没有变更。</w:t>
      </w:r>
    </w:p>
    <w:p>
      <w:pPr>
        <w:widowControl/>
        <w:spacing w:line="360" w:lineRule="auto"/>
        <w:rPr>
          <w:rFonts w:hint="eastAsia" w:ascii="宋体" w:hAnsi="宋体" w:eastAsia="宋体" w:cs="宋体"/>
          <w:bCs/>
          <w:color w:val="auto"/>
          <w:kern w:val="0"/>
          <w:sz w:val="24"/>
          <w:szCs w:val="24"/>
        </w:rPr>
      </w:pPr>
      <w:r>
        <w:rPr>
          <w:rFonts w:hint="eastAsia" w:cs="宋体" w:asciiTheme="minorEastAsia" w:hAnsiTheme="minorEastAsia"/>
          <w:bCs/>
          <w:color w:val="auto"/>
          <w:kern w:val="0"/>
          <w:sz w:val="24"/>
          <w:szCs w:val="24"/>
          <w:lang w:val="en-US" w:eastAsia="zh-CN"/>
        </w:rPr>
        <w:t>9.</w:t>
      </w:r>
      <w:r>
        <w:rPr>
          <w:rFonts w:hint="eastAsia" w:ascii="宋体" w:hAnsi="宋体" w:eastAsia="宋体" w:cs="宋体"/>
          <w:bCs/>
          <w:color w:val="auto"/>
          <w:kern w:val="0"/>
          <w:sz w:val="24"/>
          <w:szCs w:val="24"/>
        </w:rPr>
        <w:t>标志的使用和（或）任何其他对认证资格引用的情况：</w:t>
      </w:r>
    </w:p>
    <w:p>
      <w:pPr>
        <w:numPr>
          <w:ilvl w:val="0"/>
          <w:numId w:val="0"/>
        </w:numPr>
        <w:snapToGrid w:val="0"/>
        <w:spacing w:line="360" w:lineRule="auto"/>
        <w:ind w:right="-512" w:rightChars="-244" w:firstLine="480" w:firstLineChars="200"/>
        <w:rPr>
          <w:rFonts w:hint="eastAsia" w:ascii="宋体" w:hAnsi="宋体"/>
          <w:color w:val="auto"/>
          <w:sz w:val="24"/>
          <w:szCs w:val="24"/>
        </w:rPr>
      </w:pP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numPr>
          <w:ilvl w:val="0"/>
          <w:numId w:val="0"/>
        </w:numPr>
        <w:snapToGrid w:val="0"/>
        <w:spacing w:line="360" w:lineRule="auto"/>
        <w:ind w:right="-512" w:rightChars="-244"/>
        <w:rPr>
          <w:rFonts w:hint="eastAsia" w:ascii="宋体" w:hAnsi="宋体"/>
          <w:color w:val="auto"/>
          <w:sz w:val="24"/>
          <w:szCs w:val="24"/>
          <w:highlight w:val="none"/>
          <w:lang w:val="en-US" w:eastAsia="zh-CN"/>
        </w:rPr>
      </w:pPr>
    </w:p>
    <w:p>
      <w:pPr>
        <w:numPr>
          <w:ilvl w:val="0"/>
          <w:numId w:val="3"/>
        </w:numPr>
        <w:snapToGrid w:val="0"/>
        <w:spacing w:line="360" w:lineRule="auto"/>
        <w:ind w:right="-512" w:rightChars="-244"/>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本次审核</w:t>
      </w:r>
      <w:r>
        <w:rPr>
          <w:rFonts w:hint="eastAsia" w:cs="宋体" w:asciiTheme="minorEastAsia" w:hAnsiTheme="minorEastAsia"/>
          <w:bCs/>
          <w:color w:val="auto"/>
          <w:kern w:val="0"/>
          <w:sz w:val="24"/>
          <w:szCs w:val="24"/>
          <w:lang w:val="en-US" w:eastAsia="zh-CN"/>
        </w:rPr>
        <w:t>未</w:t>
      </w:r>
      <w:r>
        <w:rPr>
          <w:rFonts w:hint="eastAsia" w:cs="宋体" w:asciiTheme="minorEastAsia" w:hAnsiTheme="minorEastAsia"/>
          <w:bCs/>
          <w:color w:val="auto"/>
          <w:kern w:val="0"/>
          <w:sz w:val="24"/>
          <w:szCs w:val="24"/>
        </w:rPr>
        <w:t>发现一般不符合项 ，未发现严重或系统性的不符合情况。</w:t>
      </w:r>
    </w:p>
    <w:p>
      <w:pPr>
        <w:numPr>
          <w:ilvl w:val="0"/>
          <w:numId w:val="0"/>
        </w:numPr>
        <w:snapToGrid w:val="0"/>
        <w:spacing w:line="360" w:lineRule="auto"/>
        <w:ind w:right="-512" w:rightChars="-244"/>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三、监督审核结论意见(含需要说明的事项):</w:t>
      </w:r>
    </w:p>
    <w:p>
      <w:pPr>
        <w:widowControl/>
        <w:spacing w:line="360" w:lineRule="auto"/>
        <w:ind w:firstLine="480" w:firstLineChars="200"/>
        <w:rPr>
          <w:rFonts w:hint="eastAsia" w:cs="宋体" w:asciiTheme="minorEastAsia" w:hAnsiTheme="minorEastAsia"/>
          <w:bCs/>
          <w:color w:val="auto"/>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27</w:t>
      </w:r>
      <w:r>
        <w:rPr>
          <w:rFonts w:hint="eastAsia" w:cs="宋体" w:asciiTheme="minorEastAsia" w:hAnsiTheme="minorEastAsia"/>
          <w:bCs/>
          <w:color w:val="auto"/>
          <w:kern w:val="0"/>
          <w:sz w:val="24"/>
          <w:szCs w:val="24"/>
        </w:rPr>
        <w:t>日</w:t>
      </w:r>
      <w:r>
        <w:rPr>
          <w:rFonts w:hint="eastAsia" w:cs="宋体" w:asciiTheme="minorEastAsia" w:hAnsiTheme="minorEastAsia"/>
          <w:bCs/>
          <w:color w:val="auto"/>
          <w:kern w:val="0"/>
          <w:sz w:val="24"/>
          <w:szCs w:val="24"/>
          <w:lang w:val="en-US" w:eastAsia="zh-CN"/>
        </w:rPr>
        <w:t>至10月28日上午</w:t>
      </w:r>
      <w:r>
        <w:rPr>
          <w:rFonts w:hint="eastAsia" w:cs="宋体" w:asciiTheme="minorEastAsia" w:hAnsiTheme="minorEastAsia"/>
          <w:bCs/>
          <w:color w:val="auto"/>
          <w:kern w:val="0"/>
          <w:sz w:val="24"/>
          <w:szCs w:val="24"/>
        </w:rPr>
        <w:t>，对</w:t>
      </w:r>
      <w:r>
        <w:rPr>
          <w:rFonts w:hint="eastAsia" w:cs="宋体" w:asciiTheme="minorEastAsia" w:hAnsiTheme="minorEastAsia"/>
          <w:bCs/>
          <w:color w:val="auto"/>
          <w:kern w:val="0"/>
          <w:sz w:val="24"/>
          <w:szCs w:val="24"/>
          <w:lang w:eastAsia="zh-CN"/>
        </w:rPr>
        <w:t>上海净卓环保科技有限公司</w:t>
      </w:r>
      <w:r>
        <w:rPr>
          <w:rFonts w:hint="eastAsia" w:cs="宋体" w:asciiTheme="minorEastAsia" w:hAnsiTheme="minorEastAsia"/>
          <w:bCs/>
          <w:color w:val="auto"/>
          <w:kern w:val="0"/>
          <w:sz w:val="24"/>
          <w:szCs w:val="24"/>
        </w:rPr>
        <w:t>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cs="宋体" w:asciiTheme="minorEastAsia" w:hAnsiTheme="minorEastAsia"/>
          <w:bCs/>
          <w:color w:val="auto"/>
          <w:kern w:val="0"/>
          <w:sz w:val="24"/>
          <w:szCs w:val="24"/>
          <w:lang w:eastAsia="zh-CN"/>
        </w:rPr>
        <w:t>上海净卓环保科技有限公司</w:t>
      </w:r>
      <w:r>
        <w:rPr>
          <w:rFonts w:hint="eastAsia" w:cs="宋体" w:asciiTheme="minorEastAsia" w:hAnsiTheme="minorEastAsia"/>
          <w:bCs/>
          <w:color w:val="auto"/>
          <w:kern w:val="0"/>
          <w:sz w:val="24"/>
          <w:szCs w:val="24"/>
        </w:rPr>
        <w:t>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auto"/>
          <w:kern w:val="0"/>
          <w:sz w:val="24"/>
          <w:szCs w:val="24"/>
        </w:rPr>
      </w:pPr>
      <w:r>
        <w:rPr>
          <w:rFonts w:hint="eastAsia"/>
          <w:color w:val="auto"/>
          <w:sz w:val="24"/>
          <w:szCs w:val="24"/>
        </w:rPr>
        <w:drawing>
          <wp:anchor distT="0" distB="0" distL="114300" distR="114300" simplePos="0" relativeHeight="251671552" behindDoc="0" locked="0" layoutInCell="1" allowOverlap="1">
            <wp:simplePos x="0" y="0"/>
            <wp:positionH relativeFrom="column">
              <wp:posOffset>1389380</wp:posOffset>
            </wp:positionH>
            <wp:positionV relativeFrom="paragraph">
              <wp:posOffset>208280</wp:posOffset>
            </wp:positionV>
            <wp:extent cx="614680" cy="385445"/>
            <wp:effectExtent l="0" t="0" r="0" b="5080"/>
            <wp:wrapNone/>
            <wp:docPr id="4"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2021.10.28</w:t>
      </w:r>
    </w:p>
    <w:p>
      <w:pPr>
        <w:widowControl/>
        <w:spacing w:line="360" w:lineRule="auto"/>
        <w:jc w:val="left"/>
        <w:rPr>
          <w:rFonts w:ascii="宋体" w:hAnsi="宋体" w:eastAsia="宋体" w:cs="宋体"/>
          <w:kern w:val="0"/>
          <w:szCs w:val="21"/>
        </w:rPr>
      </w:pP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w:t>
      </w:r>
    </w:p>
    <w:p>
      <w:pPr>
        <w:widowControl/>
        <w:spacing w:line="276" w:lineRule="auto"/>
        <w:ind w:right="945"/>
        <w:jc w:val="left"/>
        <w:rPr>
          <w:rFonts w:ascii="宋体" w:hAnsi="宋体" w:eastAsia="宋体" w:cs="宋体"/>
          <w:kern w:val="0"/>
          <w:szCs w:val="28"/>
        </w:rPr>
      </w:pPr>
    </w:p>
    <w:p>
      <w:pPr>
        <w:widowControl/>
        <w:spacing w:line="276" w:lineRule="auto"/>
        <w:rPr>
          <w:rFonts w:cs="宋体" w:asciiTheme="minorEastAsia" w:hAnsiTheme="minorEastAsia"/>
          <w:bCs/>
          <w:kern w:val="0"/>
          <w:szCs w:val="21"/>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360" w:lineRule="auto"/>
        <w:rPr>
          <w:rFonts w:cs="宋体" w:asciiTheme="minorEastAsia" w:hAnsiTheme="minorEastAsia"/>
          <w:kern w:val="0"/>
          <w:szCs w:val="21"/>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0EA1C"/>
    <w:multiLevelType w:val="singleLevel"/>
    <w:tmpl w:val="86D0EA1C"/>
    <w:lvl w:ilvl="0" w:tentative="0">
      <w:start w:val="2"/>
      <w:numFmt w:val="chineseCounting"/>
      <w:suff w:val="nothing"/>
      <w:lvlText w:val="%1、"/>
      <w:lvlJc w:val="left"/>
      <w:rPr>
        <w:rFonts w:hint="eastAsia"/>
      </w:rPr>
    </w:lvl>
  </w:abstractNum>
  <w:abstractNum w:abstractNumId="1">
    <w:nsid w:val="463436E0"/>
    <w:multiLevelType w:val="singleLevel"/>
    <w:tmpl w:val="463436E0"/>
    <w:lvl w:ilvl="0" w:tentative="0">
      <w:start w:val="2018"/>
      <w:numFmt w:val="decimal"/>
      <w:suff w:val="nothing"/>
      <w:lvlText w:val="%1-"/>
      <w:lvlJc w:val="left"/>
    </w:lvl>
  </w:abstractNum>
  <w:abstractNum w:abstractNumId="2">
    <w:nsid w:val="4D9F9614"/>
    <w:multiLevelType w:val="singleLevel"/>
    <w:tmpl w:val="4D9F9614"/>
    <w:lvl w:ilvl="0" w:tentative="0">
      <w:start w:val="10"/>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C07A01"/>
    <w:rsid w:val="0BA12C2A"/>
    <w:rsid w:val="0F8C3986"/>
    <w:rsid w:val="18C938DB"/>
    <w:rsid w:val="1D047ECD"/>
    <w:rsid w:val="23631923"/>
    <w:rsid w:val="37943E80"/>
    <w:rsid w:val="3BAB004B"/>
    <w:rsid w:val="43576D92"/>
    <w:rsid w:val="4C3D76DE"/>
    <w:rsid w:val="5198608E"/>
    <w:rsid w:val="52EC4E1C"/>
    <w:rsid w:val="585C624A"/>
    <w:rsid w:val="73461A7C"/>
    <w:rsid w:val="7CD65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10</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WPS_1601433895</cp:lastModifiedBy>
  <cp:lastPrinted>2017-09-01T06:24:00Z</cp:lastPrinted>
  <dcterms:modified xsi:type="dcterms:W3CDTF">2021-10-28T01:24:10Z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