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eastAsia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螺杆泵传动轴小头外径尺寸检测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DYHX-ZD-01《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尺寸测量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作业指导书》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：测量范围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（25-50）mm的游标卡尺，最大允许误差为±0.004mm,不确定度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=0.0012mm,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highlight w:val="none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外径尺寸（44.984-45）mm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DYHX-ZD-01《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尺寸测量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b w:val="0"/>
          <w:bCs w:val="0"/>
          <w:snapToGrid w:val="0"/>
          <w:color w:val="auto"/>
          <w:kern w:val="0"/>
          <w:sz w:val="24"/>
          <w:szCs w:val="24"/>
          <w:lang w:val="en-US" w:eastAsia="zh-CN"/>
        </w:rPr>
        <w:t>的测量方法，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对外径尺寸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进行测量,记录数据。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D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</w:t>
      </w:r>
      <w:r>
        <w:rPr>
          <w:rFonts w:hint="eastAsia" w:cs="Times New Roman"/>
          <w:sz w:val="24"/>
          <w:szCs w:val="24"/>
          <w:lang w:val="en-US" w:eastAsia="zh-CN"/>
        </w:rPr>
        <w:t>外径尺寸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来源：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numPr>
          <w:ilvl w:val="0"/>
          <w:numId w:val="3"/>
        </w:numPr>
        <w:spacing w:line="360" w:lineRule="auto"/>
        <w:ind w:left="14" w:leftChars="0" w:firstLine="616"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做A类评定测量：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测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部件的外径尺寸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178"/>
        <w:gridCol w:w="1637"/>
        <w:gridCol w:w="1304"/>
        <w:gridCol w:w="11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44.992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44.994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44.996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44.994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44.992</w: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44.994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44.992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1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8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日常测量以单次测量值为最终测量结果</w:t>
      </w:r>
      <w:bookmarkStart w:id="0" w:name="_Hlk36298355"/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，则：</w:t>
      </w:r>
      <w:bookmarkEnd w:id="0"/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0.0010mm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游标卡尺校准证书，最大允许误差±0.004mm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半宽a=0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004mm,取包含因子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/>
          </w:rPr>
          <m:t>√</m:t>
        </m:r>
        <m:r>
          <m:rPr>
            <m:sty m:val="p"/>
          </m:rPr>
          <w:rPr>
            <w:rFonts w:hint="default" w:ascii="Cambria Math" w:hAnsi="Cambria Math" w:eastAsia="宋体" w:cs="Times New Roman"/>
            <w:color w:val="auto"/>
            <w:sz w:val="24"/>
            <w:szCs w:val="24"/>
            <w:lang w:val="en-US" w:eastAsia="zh-CN"/>
          </w:rPr>
          <m:t>3</m:t>
        </m:r>
      </m:oMath>
      <w:r>
        <w:rPr>
          <w:rFonts w:hint="default" w:ascii="Times New Roman" w:hAnsi="Times New Roman" w:eastAsia="宋体" w:cs="Times New Roman"/>
          <w:i w:val="0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i/>
          <w:position w:val="-24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30"/>
          <w:sz w:val="24"/>
          <w:szCs w:val="24"/>
        </w:rPr>
        <w:object>
          <v:shape id="_x0000_i1027" o:spt="75" type="#_x0000_t75" style="height:33pt;width:14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0.001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0.0023mm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合成标准不确定度按下式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9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0.0025mm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.005mm</w:t>
      </w:r>
      <w:bookmarkStart w:id="1" w:name="_GoBack"/>
      <w:bookmarkEnd w:id="1"/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1200" w:firstLineChars="500"/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 w:val="0"/>
          <w:iCs/>
          <w:color w:val="auto"/>
          <w:sz w:val="24"/>
          <w:szCs w:val="24"/>
          <w:lang w:val="en-US" w:eastAsia="zh-CN"/>
        </w:rPr>
        <w:t>0.005mm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            </w:t>
      </w:r>
    </w:p>
    <w:p>
      <w:pPr>
        <w:spacing w:line="360" w:lineRule="auto"/>
        <w:ind w:firstLine="4800" w:firstLineChars="20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kern w:val="0"/>
          <w:sz w:val="24"/>
          <w:szCs w:val="24"/>
          <w:lang w:val="en-US" w:eastAsia="zh-CN"/>
        </w:rPr>
        <w:t xml:space="preserve">  评定人：  </w:t>
      </w:r>
      <w:r>
        <w:rPr>
          <w:rFonts w:hint="eastAsia"/>
          <w:szCs w:val="21"/>
        </w:rPr>
        <w:drawing>
          <wp:inline distT="0" distB="0" distL="114300" distR="114300">
            <wp:extent cx="800100" cy="406400"/>
            <wp:effectExtent l="0" t="0" r="0" b="12700"/>
            <wp:docPr id="4" name="图片 4" descr="603901a15e7d6fd02af45bbad07b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03901a15e7d6fd02af45bbad07b25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81D38"/>
    <w:multiLevelType w:val="singleLevel"/>
    <w:tmpl w:val="92381D38"/>
    <w:lvl w:ilvl="0" w:tentative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3B3868"/>
    <w:rsid w:val="029D4DA9"/>
    <w:rsid w:val="032E67AB"/>
    <w:rsid w:val="033A7641"/>
    <w:rsid w:val="03BB399B"/>
    <w:rsid w:val="0436565A"/>
    <w:rsid w:val="04444815"/>
    <w:rsid w:val="04465B69"/>
    <w:rsid w:val="05516CE2"/>
    <w:rsid w:val="059C21AC"/>
    <w:rsid w:val="06012B34"/>
    <w:rsid w:val="062619D7"/>
    <w:rsid w:val="063C65F3"/>
    <w:rsid w:val="06C201D1"/>
    <w:rsid w:val="07640BC6"/>
    <w:rsid w:val="07736171"/>
    <w:rsid w:val="078230B7"/>
    <w:rsid w:val="07A35956"/>
    <w:rsid w:val="07AF0615"/>
    <w:rsid w:val="08181A8A"/>
    <w:rsid w:val="08451DBA"/>
    <w:rsid w:val="084A253C"/>
    <w:rsid w:val="085F10CD"/>
    <w:rsid w:val="08D2644C"/>
    <w:rsid w:val="08EE355A"/>
    <w:rsid w:val="08F61E9B"/>
    <w:rsid w:val="08F82E18"/>
    <w:rsid w:val="09B83C76"/>
    <w:rsid w:val="09BE7075"/>
    <w:rsid w:val="0A9A5E74"/>
    <w:rsid w:val="0AAA056F"/>
    <w:rsid w:val="0B397FDA"/>
    <w:rsid w:val="0B571171"/>
    <w:rsid w:val="0C1512F7"/>
    <w:rsid w:val="0C5E597F"/>
    <w:rsid w:val="0DC07BA3"/>
    <w:rsid w:val="0DD12DD6"/>
    <w:rsid w:val="0DE12C9E"/>
    <w:rsid w:val="0DFD4444"/>
    <w:rsid w:val="0E1326AB"/>
    <w:rsid w:val="0E2137A4"/>
    <w:rsid w:val="0EBC1312"/>
    <w:rsid w:val="0ECC0C7D"/>
    <w:rsid w:val="0EEB4B2B"/>
    <w:rsid w:val="0F5022E5"/>
    <w:rsid w:val="0F647EE0"/>
    <w:rsid w:val="0FFD4873"/>
    <w:rsid w:val="10420EA8"/>
    <w:rsid w:val="10514BDF"/>
    <w:rsid w:val="105C78FE"/>
    <w:rsid w:val="1071110B"/>
    <w:rsid w:val="10971A21"/>
    <w:rsid w:val="10C76CC6"/>
    <w:rsid w:val="117068EC"/>
    <w:rsid w:val="11AF1B39"/>
    <w:rsid w:val="11DD0A90"/>
    <w:rsid w:val="121B5A80"/>
    <w:rsid w:val="129E0D65"/>
    <w:rsid w:val="12C906E4"/>
    <w:rsid w:val="13393B7B"/>
    <w:rsid w:val="1382225A"/>
    <w:rsid w:val="13873537"/>
    <w:rsid w:val="13CA4424"/>
    <w:rsid w:val="140F26AA"/>
    <w:rsid w:val="150669D4"/>
    <w:rsid w:val="154C0522"/>
    <w:rsid w:val="15741294"/>
    <w:rsid w:val="1581369B"/>
    <w:rsid w:val="15844914"/>
    <w:rsid w:val="158B5187"/>
    <w:rsid w:val="15C46DC7"/>
    <w:rsid w:val="15F118EA"/>
    <w:rsid w:val="175072CC"/>
    <w:rsid w:val="17B74778"/>
    <w:rsid w:val="18175742"/>
    <w:rsid w:val="183E7280"/>
    <w:rsid w:val="185302DE"/>
    <w:rsid w:val="18677CE5"/>
    <w:rsid w:val="1891397E"/>
    <w:rsid w:val="192E10A5"/>
    <w:rsid w:val="19905B34"/>
    <w:rsid w:val="1AF87875"/>
    <w:rsid w:val="1B8F690F"/>
    <w:rsid w:val="1C15584B"/>
    <w:rsid w:val="1C453514"/>
    <w:rsid w:val="1D4D143B"/>
    <w:rsid w:val="1D734404"/>
    <w:rsid w:val="1D936C66"/>
    <w:rsid w:val="1DEE5DF2"/>
    <w:rsid w:val="1E131FF2"/>
    <w:rsid w:val="1E8402C8"/>
    <w:rsid w:val="1E870D79"/>
    <w:rsid w:val="1E9658DA"/>
    <w:rsid w:val="1F880E66"/>
    <w:rsid w:val="203B2CB0"/>
    <w:rsid w:val="207B4428"/>
    <w:rsid w:val="2097253F"/>
    <w:rsid w:val="218956D2"/>
    <w:rsid w:val="21D35A3C"/>
    <w:rsid w:val="222157FC"/>
    <w:rsid w:val="22345A2F"/>
    <w:rsid w:val="22A05F60"/>
    <w:rsid w:val="232F2936"/>
    <w:rsid w:val="233E38A3"/>
    <w:rsid w:val="23A470A8"/>
    <w:rsid w:val="23B547D3"/>
    <w:rsid w:val="23DB2617"/>
    <w:rsid w:val="247523C6"/>
    <w:rsid w:val="24CB6DA3"/>
    <w:rsid w:val="25263E94"/>
    <w:rsid w:val="25404A81"/>
    <w:rsid w:val="25947BCD"/>
    <w:rsid w:val="25C47678"/>
    <w:rsid w:val="25FE1BED"/>
    <w:rsid w:val="26207F0F"/>
    <w:rsid w:val="26AA6502"/>
    <w:rsid w:val="27106FF2"/>
    <w:rsid w:val="27435D7E"/>
    <w:rsid w:val="27725E1D"/>
    <w:rsid w:val="27F5750A"/>
    <w:rsid w:val="280A2556"/>
    <w:rsid w:val="287857C0"/>
    <w:rsid w:val="28856985"/>
    <w:rsid w:val="28CD3704"/>
    <w:rsid w:val="28F21DA6"/>
    <w:rsid w:val="292A5016"/>
    <w:rsid w:val="295E52F6"/>
    <w:rsid w:val="29773268"/>
    <w:rsid w:val="2AE95DBC"/>
    <w:rsid w:val="2B141677"/>
    <w:rsid w:val="2B183C58"/>
    <w:rsid w:val="2B6435E7"/>
    <w:rsid w:val="2B967C6B"/>
    <w:rsid w:val="2C6D3547"/>
    <w:rsid w:val="2C7F5B3F"/>
    <w:rsid w:val="2CE41F03"/>
    <w:rsid w:val="2D7360E2"/>
    <w:rsid w:val="2E1D2BE4"/>
    <w:rsid w:val="2E427342"/>
    <w:rsid w:val="2F0C7A88"/>
    <w:rsid w:val="2F113080"/>
    <w:rsid w:val="2F71161C"/>
    <w:rsid w:val="2FA2223C"/>
    <w:rsid w:val="2FAD64F4"/>
    <w:rsid w:val="2FAD685C"/>
    <w:rsid w:val="2FD87A17"/>
    <w:rsid w:val="30797CCF"/>
    <w:rsid w:val="30BC705F"/>
    <w:rsid w:val="313A05C4"/>
    <w:rsid w:val="31476743"/>
    <w:rsid w:val="31520F6C"/>
    <w:rsid w:val="31BA23D7"/>
    <w:rsid w:val="32FD5AF2"/>
    <w:rsid w:val="33C6591C"/>
    <w:rsid w:val="34214B02"/>
    <w:rsid w:val="345D1149"/>
    <w:rsid w:val="34744443"/>
    <w:rsid w:val="34A11DCF"/>
    <w:rsid w:val="3594212D"/>
    <w:rsid w:val="359F193E"/>
    <w:rsid w:val="35BB3EF0"/>
    <w:rsid w:val="35D21864"/>
    <w:rsid w:val="35DA5298"/>
    <w:rsid w:val="36184782"/>
    <w:rsid w:val="361C12D7"/>
    <w:rsid w:val="370E0EFC"/>
    <w:rsid w:val="374B63DB"/>
    <w:rsid w:val="37956A98"/>
    <w:rsid w:val="37A94C31"/>
    <w:rsid w:val="37B70194"/>
    <w:rsid w:val="37F17F01"/>
    <w:rsid w:val="37FA07CE"/>
    <w:rsid w:val="3832240A"/>
    <w:rsid w:val="38453DC7"/>
    <w:rsid w:val="385C5CFF"/>
    <w:rsid w:val="38994C79"/>
    <w:rsid w:val="38C772C4"/>
    <w:rsid w:val="38C90541"/>
    <w:rsid w:val="392A3940"/>
    <w:rsid w:val="392B5CE9"/>
    <w:rsid w:val="39983970"/>
    <w:rsid w:val="3A366619"/>
    <w:rsid w:val="3A8F2653"/>
    <w:rsid w:val="3A9E7CD6"/>
    <w:rsid w:val="3AA4379D"/>
    <w:rsid w:val="3B2431C5"/>
    <w:rsid w:val="3B264B4E"/>
    <w:rsid w:val="3BD02F44"/>
    <w:rsid w:val="3C840873"/>
    <w:rsid w:val="3C8C7105"/>
    <w:rsid w:val="3CD52698"/>
    <w:rsid w:val="3CE82B49"/>
    <w:rsid w:val="3CEB7BFD"/>
    <w:rsid w:val="3D586B46"/>
    <w:rsid w:val="3D5935CD"/>
    <w:rsid w:val="3E0E073B"/>
    <w:rsid w:val="3E753369"/>
    <w:rsid w:val="3E782D86"/>
    <w:rsid w:val="3EBA17B4"/>
    <w:rsid w:val="3F0C0AE0"/>
    <w:rsid w:val="3F113FAD"/>
    <w:rsid w:val="3F1A7B19"/>
    <w:rsid w:val="3F3018DD"/>
    <w:rsid w:val="3F45685F"/>
    <w:rsid w:val="3F554F04"/>
    <w:rsid w:val="3F652FF2"/>
    <w:rsid w:val="3F6903D3"/>
    <w:rsid w:val="3F6A1D37"/>
    <w:rsid w:val="3FA173DB"/>
    <w:rsid w:val="3FB17206"/>
    <w:rsid w:val="40514BF6"/>
    <w:rsid w:val="409F2474"/>
    <w:rsid w:val="41733268"/>
    <w:rsid w:val="41962551"/>
    <w:rsid w:val="41963CF9"/>
    <w:rsid w:val="41F052E7"/>
    <w:rsid w:val="420A266B"/>
    <w:rsid w:val="425C4B40"/>
    <w:rsid w:val="43B922F9"/>
    <w:rsid w:val="447828CB"/>
    <w:rsid w:val="449D6694"/>
    <w:rsid w:val="44CE6944"/>
    <w:rsid w:val="45095491"/>
    <w:rsid w:val="454C3A56"/>
    <w:rsid w:val="45902AD2"/>
    <w:rsid w:val="459E15A9"/>
    <w:rsid w:val="45FE3658"/>
    <w:rsid w:val="462C7D91"/>
    <w:rsid w:val="463F1C8F"/>
    <w:rsid w:val="468551B3"/>
    <w:rsid w:val="47115130"/>
    <w:rsid w:val="47326727"/>
    <w:rsid w:val="47674205"/>
    <w:rsid w:val="478871A8"/>
    <w:rsid w:val="479F28A6"/>
    <w:rsid w:val="480B2838"/>
    <w:rsid w:val="481174DD"/>
    <w:rsid w:val="48934C89"/>
    <w:rsid w:val="48AC74AC"/>
    <w:rsid w:val="48B30DA2"/>
    <w:rsid w:val="4943232C"/>
    <w:rsid w:val="4952071E"/>
    <w:rsid w:val="49680B69"/>
    <w:rsid w:val="497C6930"/>
    <w:rsid w:val="499A7F67"/>
    <w:rsid w:val="499D7538"/>
    <w:rsid w:val="49D64F29"/>
    <w:rsid w:val="49EA0FF1"/>
    <w:rsid w:val="4A0734DF"/>
    <w:rsid w:val="4A1950A8"/>
    <w:rsid w:val="4A224389"/>
    <w:rsid w:val="4A2B6181"/>
    <w:rsid w:val="4A321E4B"/>
    <w:rsid w:val="4A527CDB"/>
    <w:rsid w:val="4A991A43"/>
    <w:rsid w:val="4AA30074"/>
    <w:rsid w:val="4B5B305B"/>
    <w:rsid w:val="4BA806D8"/>
    <w:rsid w:val="4BFF6332"/>
    <w:rsid w:val="4C4E578C"/>
    <w:rsid w:val="4CD60CFE"/>
    <w:rsid w:val="4D1D1F60"/>
    <w:rsid w:val="4DEC72AA"/>
    <w:rsid w:val="4E4476F6"/>
    <w:rsid w:val="4E9273F7"/>
    <w:rsid w:val="4EDA1BF8"/>
    <w:rsid w:val="4F3508CD"/>
    <w:rsid w:val="4F4B7671"/>
    <w:rsid w:val="4F72099F"/>
    <w:rsid w:val="4FC501D3"/>
    <w:rsid w:val="506A3EB6"/>
    <w:rsid w:val="50FD4AA8"/>
    <w:rsid w:val="51322CCD"/>
    <w:rsid w:val="51613F48"/>
    <w:rsid w:val="51D17925"/>
    <w:rsid w:val="51D71733"/>
    <w:rsid w:val="52163E48"/>
    <w:rsid w:val="52315D80"/>
    <w:rsid w:val="526747A8"/>
    <w:rsid w:val="52BE3F26"/>
    <w:rsid w:val="53083644"/>
    <w:rsid w:val="534C3F99"/>
    <w:rsid w:val="53693190"/>
    <w:rsid w:val="539E536A"/>
    <w:rsid w:val="546F1767"/>
    <w:rsid w:val="54AE769F"/>
    <w:rsid w:val="54C61D3F"/>
    <w:rsid w:val="54E10FF2"/>
    <w:rsid w:val="54E16A9D"/>
    <w:rsid w:val="550D2A39"/>
    <w:rsid w:val="558C45D2"/>
    <w:rsid w:val="55BA7E5F"/>
    <w:rsid w:val="55E0145F"/>
    <w:rsid w:val="561C144A"/>
    <w:rsid w:val="570F7E12"/>
    <w:rsid w:val="57304483"/>
    <w:rsid w:val="57B1510A"/>
    <w:rsid w:val="57CC2099"/>
    <w:rsid w:val="57EC214E"/>
    <w:rsid w:val="589249BA"/>
    <w:rsid w:val="58F91F1B"/>
    <w:rsid w:val="5944689B"/>
    <w:rsid w:val="595C5B0E"/>
    <w:rsid w:val="59DA68ED"/>
    <w:rsid w:val="5A36542E"/>
    <w:rsid w:val="5A3F282F"/>
    <w:rsid w:val="5A72271D"/>
    <w:rsid w:val="5ACE0218"/>
    <w:rsid w:val="5AD9044A"/>
    <w:rsid w:val="5AFA05EF"/>
    <w:rsid w:val="5BEA2D95"/>
    <w:rsid w:val="5C5A1412"/>
    <w:rsid w:val="5D0459A0"/>
    <w:rsid w:val="5D4371C8"/>
    <w:rsid w:val="5D7B6436"/>
    <w:rsid w:val="5DA04371"/>
    <w:rsid w:val="5DB553B5"/>
    <w:rsid w:val="5E4624C5"/>
    <w:rsid w:val="5E6C67F7"/>
    <w:rsid w:val="5EFD54A6"/>
    <w:rsid w:val="5F38454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27614CE"/>
    <w:rsid w:val="629B5D9F"/>
    <w:rsid w:val="6304360C"/>
    <w:rsid w:val="63BD10F1"/>
    <w:rsid w:val="63DB627B"/>
    <w:rsid w:val="64350C74"/>
    <w:rsid w:val="643D3E49"/>
    <w:rsid w:val="64731D3A"/>
    <w:rsid w:val="65C55621"/>
    <w:rsid w:val="66E86E18"/>
    <w:rsid w:val="67522304"/>
    <w:rsid w:val="67674492"/>
    <w:rsid w:val="67A448EF"/>
    <w:rsid w:val="681B0E89"/>
    <w:rsid w:val="684A6A91"/>
    <w:rsid w:val="687136DB"/>
    <w:rsid w:val="68B05F74"/>
    <w:rsid w:val="69F2227B"/>
    <w:rsid w:val="6A247EED"/>
    <w:rsid w:val="6A69028E"/>
    <w:rsid w:val="6A764632"/>
    <w:rsid w:val="6A871B8E"/>
    <w:rsid w:val="6A8B5143"/>
    <w:rsid w:val="6AD20F5C"/>
    <w:rsid w:val="6B5972DA"/>
    <w:rsid w:val="6BCE3701"/>
    <w:rsid w:val="6BF70BCC"/>
    <w:rsid w:val="6C5A5A6D"/>
    <w:rsid w:val="6C8C4BC0"/>
    <w:rsid w:val="6C9F0AE0"/>
    <w:rsid w:val="6C9F2880"/>
    <w:rsid w:val="6CB540F2"/>
    <w:rsid w:val="6CBF09D5"/>
    <w:rsid w:val="6CED73F9"/>
    <w:rsid w:val="6D1A7968"/>
    <w:rsid w:val="6D55250A"/>
    <w:rsid w:val="6E07322E"/>
    <w:rsid w:val="6E194DD2"/>
    <w:rsid w:val="6E9F7006"/>
    <w:rsid w:val="6EA232AD"/>
    <w:rsid w:val="6EDD43E7"/>
    <w:rsid w:val="6FA32C9D"/>
    <w:rsid w:val="6FFE61E8"/>
    <w:rsid w:val="70527D58"/>
    <w:rsid w:val="713A370C"/>
    <w:rsid w:val="717E17C0"/>
    <w:rsid w:val="71F52FD3"/>
    <w:rsid w:val="727B1BF3"/>
    <w:rsid w:val="72E007A1"/>
    <w:rsid w:val="733C6C07"/>
    <w:rsid w:val="7376125A"/>
    <w:rsid w:val="7446002C"/>
    <w:rsid w:val="7486498C"/>
    <w:rsid w:val="74BA3418"/>
    <w:rsid w:val="753B0584"/>
    <w:rsid w:val="75513159"/>
    <w:rsid w:val="75622865"/>
    <w:rsid w:val="75EF08E7"/>
    <w:rsid w:val="761B2F44"/>
    <w:rsid w:val="76275527"/>
    <w:rsid w:val="768F183D"/>
    <w:rsid w:val="776148F4"/>
    <w:rsid w:val="7786572D"/>
    <w:rsid w:val="77A63DCB"/>
    <w:rsid w:val="784903B4"/>
    <w:rsid w:val="789B1DCD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671D5"/>
    <w:rsid w:val="7A4A6002"/>
    <w:rsid w:val="7A7B1BBB"/>
    <w:rsid w:val="7A7F2C28"/>
    <w:rsid w:val="7AD567BC"/>
    <w:rsid w:val="7ADD5596"/>
    <w:rsid w:val="7B1A5A17"/>
    <w:rsid w:val="7B4F3879"/>
    <w:rsid w:val="7B7F6484"/>
    <w:rsid w:val="7BC66D41"/>
    <w:rsid w:val="7BD9665D"/>
    <w:rsid w:val="7BEB5478"/>
    <w:rsid w:val="7C5E794C"/>
    <w:rsid w:val="7D430E86"/>
    <w:rsid w:val="7DC46F29"/>
    <w:rsid w:val="7DE91E93"/>
    <w:rsid w:val="7E320E13"/>
    <w:rsid w:val="7E3A19AC"/>
    <w:rsid w:val="7E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乐言</cp:lastModifiedBy>
  <dcterms:modified xsi:type="dcterms:W3CDTF">2021-10-22T00:19:28Z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EB79D4AB25BF4281BCA7C6C912471FBA</vt:lpwstr>
  </property>
</Properties>
</file>