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1082-2021-E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陕西品筑实业发展有限公司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陕西品筑实业发展有限公司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陕西省西安市浐灞生态区浐灞大道浐灞半岛A15区11号楼一单元503</w:t>
            </w:r>
            <w:bookmarkEnd w:id="6"/>
          </w:p>
        </w:tc>
        <w:tc>
          <w:tcPr>
            <w:tcW w:w="1242" w:type="dxa"/>
            <w:vMerge w:val="restart"/>
            <w:vAlign w:val="center"/>
          </w:tcPr>
          <w:p>
            <w:r>
              <w:rPr>
                <w:rFonts w:hint="eastAsia"/>
              </w:rPr>
              <w:t>邮编</w:t>
            </w:r>
          </w:p>
        </w:tc>
        <w:tc>
          <w:tcPr>
            <w:tcW w:w="1771" w:type="dxa"/>
          </w:tcPr>
          <w:p>
            <w:bookmarkStart w:id="7" w:name="注册邮编"/>
            <w:r>
              <w:t>710032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陕西省西安市浐灞生态区浐灞大道浐灞半岛A15区11号楼一单元503</w:t>
            </w:r>
            <w:bookmarkEnd w:id="8"/>
          </w:p>
        </w:tc>
        <w:tc>
          <w:tcPr>
            <w:tcW w:w="1242" w:type="dxa"/>
            <w:vMerge w:val="continue"/>
            <w:vAlign w:val="center"/>
          </w:tcPr>
          <w:p/>
        </w:tc>
        <w:tc>
          <w:tcPr>
            <w:tcW w:w="1771" w:type="dxa"/>
          </w:tcPr>
          <w:p>
            <w:bookmarkStart w:id="9" w:name="办公邮编"/>
            <w:r>
              <w:t>710032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潘锐娥</w:t>
            </w:r>
            <w:bookmarkEnd w:id="10"/>
          </w:p>
        </w:tc>
        <w:tc>
          <w:tcPr>
            <w:tcW w:w="1313" w:type="dxa"/>
            <w:vAlign w:val="center"/>
          </w:tcPr>
          <w:p>
            <w:r>
              <w:rPr>
                <w:rFonts w:hint="eastAsia"/>
              </w:rPr>
              <w:t>电话.</w:t>
            </w:r>
          </w:p>
        </w:tc>
        <w:tc>
          <w:tcPr>
            <w:tcW w:w="2180" w:type="dxa"/>
            <w:vAlign w:val="center"/>
          </w:tcPr>
          <w:p>
            <w:bookmarkStart w:id="11" w:name="联系人电话"/>
            <w:r>
              <w:t>19935919276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潘锐娥</w:t>
            </w:r>
            <w:bookmarkEnd w:id="13"/>
          </w:p>
        </w:tc>
        <w:tc>
          <w:tcPr>
            <w:tcW w:w="1313" w:type="dxa"/>
            <w:vAlign w:val="center"/>
          </w:tcPr>
          <w:p>
            <w:r>
              <w:rPr>
                <w:rFonts w:hint="eastAsia"/>
              </w:rPr>
              <w:t>管理者代表</w:t>
            </w:r>
          </w:p>
        </w:tc>
        <w:tc>
          <w:tcPr>
            <w:tcW w:w="2180" w:type="dxa"/>
          </w:tcPr>
          <w:p>
            <w:bookmarkStart w:id="14" w:name="管理者代表"/>
            <w:r>
              <w:t>郑振民</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销售流程图：签订合同→采购→验收→发货→交付→顾客满意度调查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2021年11月29日 下午至2021年12月01日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陕西省西安市浐灞生态区浐灞大道浐灞半岛A15区11号楼一单元503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混凝土外加剂（聚羧酸高性能减水剂）的销售所涉及场所的相关环境管理活动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hint="eastAsia" w:eastAsia="黑体"/>
                <w:szCs w:val="21"/>
                <w:lang w:val="de-DE" w:eastAsia="ja-JP"/>
              </w:rPr>
              <w:t>陕西品筑实业发展有限公司</w:t>
            </w:r>
            <w:r>
              <w:rPr>
                <w:rFonts w:hint="eastAsia" w:eastAsia="黑体"/>
                <w:szCs w:val="21"/>
                <w:lang w:val="en-US" w:eastAsia="zh-CN"/>
              </w:rPr>
              <w:t>/陕西省西安市浐灞生态区浐灞大道浐灞半岛A15区11号楼一单元503</w:t>
            </w:r>
          </w:p>
        </w:tc>
        <w:tc>
          <w:tcPr>
            <w:tcW w:w="2267" w:type="dxa"/>
            <w:vAlign w:val="top"/>
          </w:tcPr>
          <w:p>
            <w:pPr>
              <w:spacing w:before="40" w:after="40"/>
              <w:rPr>
                <w:lang w:val="de-DE" w:eastAsia="ja-JP"/>
              </w:rPr>
            </w:pPr>
            <w:r>
              <w:rPr>
                <w:rFonts w:hint="eastAsia" w:eastAsia="黑体"/>
                <w:szCs w:val="21"/>
                <w:lang w:val="de-DE" w:eastAsia="ja-JP"/>
              </w:rPr>
              <w:t>陕西省西安市浐灞生态区浐灞大道浐灞半岛A15区11号楼一单元503</w:t>
            </w:r>
          </w:p>
        </w:tc>
        <w:tc>
          <w:tcPr>
            <w:tcW w:w="571" w:type="dxa"/>
            <w:vAlign w:val="center"/>
          </w:tcPr>
          <w:p>
            <w:pPr>
              <w:spacing w:before="40" w:after="40"/>
              <w:rPr>
                <w:lang w:eastAsia="ja-JP"/>
              </w:rPr>
            </w:pPr>
            <w:r>
              <w:rPr>
                <w:rFonts w:hint="eastAsia" w:eastAsia="黑体"/>
                <w:szCs w:val="21"/>
                <w:lang w:val="en-US" w:eastAsia="zh-CN"/>
              </w:rPr>
              <w:t>23</w:t>
            </w:r>
          </w:p>
        </w:tc>
        <w:tc>
          <w:tcPr>
            <w:tcW w:w="2803" w:type="dxa"/>
            <w:vAlign w:val="center"/>
          </w:tcPr>
          <w:p>
            <w:pPr>
              <w:pStyle w:val="20"/>
              <w:rPr>
                <w:lang w:eastAsia="ja-JP"/>
              </w:rPr>
            </w:pPr>
            <w:r>
              <w:rPr>
                <w:rFonts w:hint="eastAsia" w:eastAsia="黑体" w:cs="Arial"/>
                <w:sz w:val="21"/>
                <w:szCs w:val="21"/>
                <w:lang w:val="en-US" w:eastAsia="ja-JP"/>
              </w:rPr>
              <w:t>混凝土外加剂（聚羧酸高性能减水剂）的销售所涉及场所的相关环境管理活动</w:t>
            </w:r>
          </w:p>
        </w:tc>
        <w:tc>
          <w:tcPr>
            <w:tcW w:w="669" w:type="dxa"/>
            <w:vAlign w:val="center"/>
          </w:tcPr>
          <w:p>
            <w:pPr>
              <w:spacing w:before="40" w:after="40"/>
              <w:rPr>
                <w:lang w:eastAsia="ja-JP"/>
              </w:rPr>
            </w:pPr>
            <w:r>
              <w:rPr>
                <w:rFonts w:hint="eastAsia" w:eastAsia="黑体"/>
                <w:szCs w:val="21"/>
                <w:lang w:eastAsia="ja-JP"/>
              </w:rPr>
              <w:t>GB/T 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eastAsia="黑体"/>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2020-N1EMS-1263290</w:t>
            </w:r>
          </w:p>
        </w:tc>
        <w:tc>
          <w:tcPr>
            <w:tcW w:w="2179" w:type="dxa"/>
            <w:vAlign w:val="center"/>
          </w:tcPr>
          <w:p>
            <w: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139700</wp:posOffset>
                  </wp:positionH>
                  <wp:positionV relativeFrom="paragraph">
                    <wp:posOffset>-50800</wp:posOffset>
                  </wp:positionV>
                  <wp:extent cx="590550" cy="49022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90550" cy="4902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最高管理者制定了文件化的管理体系方针：节能降耗；预防污染；遵纪守法；持续改进；保护环境；造福社会。</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潜在火灾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加强安全消防意识，配备灭火器材</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交由物业处理单位统一处理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火灾事故为0</w:t>
                  </w:r>
                </w:p>
              </w:tc>
              <w:tc>
                <w:tcPr>
                  <w:tcW w:w="3136"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加强安全消防意识，配备灭火器材</w:t>
                  </w:r>
                </w:p>
              </w:tc>
              <w:tc>
                <w:tcPr>
                  <w:tcW w:w="1350"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固体废弃物100%分类集中处理</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配备垃圾分类箱</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环境污染事故为0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增强员工环境保护意识</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计算机电脑、打印机等</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垃圾分类箱、灭火器等</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eastAsia="宋体" w:cs="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宋体" w:hAnsi="宋体" w:eastAsia="宋体" w:cs="宋体"/>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合同约定</w:t>
            </w:r>
            <w:r>
              <w:rPr>
                <w:rFonts w:hint="eastAsia" w:ascii="宋体" w:hAnsi="宋体" w:eastAsia="宋体" w:cs="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lang w:val="en-US" w:eastAsia="zh-CN"/>
                    </w:rPr>
                    <w:t>服务</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办公耗材的消耗，合理使用，减少浪费。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pStyle w:val="2"/>
                    <w:rPr>
                      <w:rFonts w:hint="eastAsia" w:ascii="Times New Roman" w:hAnsi="Times New Roman" w:eastAsia="宋体" w:cs="Times New Roman"/>
                      <w:bCs/>
                      <w:spacing w:val="10"/>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2021.4.30</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4-5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宋体" w:hAnsi="宋体" w:eastAsia="宋体" w:cs="宋体"/>
              </w:rPr>
              <w:t>■</w:t>
            </w:r>
            <w:r>
              <w:rPr>
                <w:rFonts w:hint="eastAsia"/>
              </w:rPr>
              <w:t>自我检查的结果</w:t>
            </w:r>
            <w:r>
              <w:rPr>
                <w:rFonts w:hint="eastAsia" w:ascii="宋体" w:hAnsi="宋体" w:eastAsia="宋体" w:cs="宋体"/>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p>
    <w:p>
      <w:pPr>
        <w:spacing w:before="40" w:after="40"/>
        <w:rPr>
          <w:rFonts w:eastAsia="微软雅黑"/>
          <w:sz w:val="20"/>
          <w:szCs w:val="20"/>
        </w:rPr>
      </w:pP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205909"/>
    <w:rsid w:val="096524D8"/>
    <w:rsid w:val="122A4C8C"/>
    <w:rsid w:val="19C05ED6"/>
    <w:rsid w:val="2C7931C9"/>
    <w:rsid w:val="3810372D"/>
    <w:rsid w:val="4C5C5158"/>
    <w:rsid w:val="543640C4"/>
    <w:rsid w:val="5DF474C9"/>
    <w:rsid w:val="5F820FCF"/>
    <w:rsid w:val="61F0219C"/>
    <w:rsid w:val="6A116821"/>
    <w:rsid w:val="6DB87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2021-11-28T03:11:15Z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