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顾才生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邹景红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褚敏杰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2021.10.26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财务部现有2人，部长1人，出纳1人；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主要负责资金管理；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触电、火灾事故为0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未对财务部建立质量目标，交流；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2021年1-6月考核，显示目标均已全部完成。</w:t>
            </w:r>
          </w:p>
          <w:p>
            <w:pPr>
              <w:pStyle w:val="3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  <w:bookmarkStart w:id="0" w:name="_GoBack"/>
            <w:bookmarkEnd w:id="0"/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经评价财务部无重要环境因素。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经评价财务部无不可接受风险。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策划了控制措施，制订了“质量、环境、职业健康安全管理方案”，明确了控制措施、时间要求、责任部门、责任和资源计划。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EO:7.1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提供安全环保经费清单，2021年共计投入资金156500元，用于环境、安全教育费、劳保用品、社保、垃圾处理费、消防用品等；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基本能满足要求。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</w:t>
            </w:r>
            <w:r>
              <w:rPr>
                <w:rFonts w:hint="eastAsia"/>
                <w:color w:val="auto"/>
                <w:lang w:val="en-US" w:eastAsia="zh-CN"/>
              </w:rPr>
              <w:t>记录；监控摄像头运行正常；应急疏散指示符合</w:t>
            </w:r>
            <w:r>
              <w:rPr>
                <w:rFonts w:hint="eastAsia"/>
                <w:lang w:val="en-US" w:eastAsia="zh-CN"/>
              </w:rPr>
              <w:t>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059D"/>
    <w:rsid w:val="11F06C31"/>
    <w:rsid w:val="16803A30"/>
    <w:rsid w:val="1ACA5148"/>
    <w:rsid w:val="2E145C39"/>
    <w:rsid w:val="30D639C8"/>
    <w:rsid w:val="41495ED3"/>
    <w:rsid w:val="463B1514"/>
    <w:rsid w:val="46CF1AC9"/>
    <w:rsid w:val="4ACF0E85"/>
    <w:rsid w:val="68DA78C4"/>
    <w:rsid w:val="6952544E"/>
    <w:rsid w:val="728F3F70"/>
    <w:rsid w:val="7A153A3F"/>
    <w:rsid w:val="7A7E6F3E"/>
    <w:rsid w:val="7BAB2316"/>
    <w:rsid w:val="7BFB5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13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2021-10-26T00:54:37Z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