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4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14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 xml:space="preserve">行政部         </w:t>
            </w:r>
            <w:r>
              <w:rPr>
                <w:rFonts w:hint="eastAsia"/>
                <w:color w:val="auto"/>
                <w:sz w:val="24"/>
                <w:szCs w:val="24"/>
              </w:rPr>
              <w:t>主管领导：</w:t>
            </w:r>
            <w:r>
              <w:rPr>
                <w:rFonts w:hint="eastAsia"/>
                <w:color w:val="auto"/>
                <w:sz w:val="24"/>
                <w:szCs w:val="24"/>
                <w:lang w:val="en-US" w:eastAsia="zh-CN"/>
              </w:rPr>
              <w:t xml:space="preserve">聂志平      </w:t>
            </w:r>
            <w:r>
              <w:rPr>
                <w:rFonts w:hint="eastAsia"/>
                <w:color w:val="auto"/>
                <w:sz w:val="24"/>
                <w:szCs w:val="24"/>
              </w:rPr>
              <w:t>陪同人员：</w:t>
            </w:r>
            <w:r>
              <w:rPr>
                <w:rFonts w:hint="eastAsia"/>
                <w:color w:val="auto"/>
                <w:sz w:val="24"/>
                <w:szCs w:val="24"/>
                <w:lang w:val="en-US" w:eastAsia="zh-CN"/>
              </w:rPr>
              <w:t>邹景红</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Merge w:val="continue"/>
            <w:vAlign w:val="center"/>
          </w:tcPr>
          <w:p>
            <w:pPr>
              <w:spacing w:line="360" w:lineRule="auto"/>
            </w:pPr>
          </w:p>
        </w:tc>
        <w:tc>
          <w:tcPr>
            <w:tcW w:w="1140" w:type="dxa"/>
            <w:vMerge w:val="continue"/>
            <w:vAlign w:val="center"/>
          </w:tcPr>
          <w:p>
            <w:pPr>
              <w:spacing w:line="360" w:lineRule="auto"/>
            </w:pPr>
          </w:p>
        </w:tc>
        <w:tc>
          <w:tcPr>
            <w:tcW w:w="10004" w:type="dxa"/>
            <w:vAlign w:val="center"/>
          </w:tcPr>
          <w:p>
            <w:pPr>
              <w:spacing w:before="120" w:line="360" w:lineRule="auto"/>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褚敏杰             </w:t>
            </w:r>
            <w:r>
              <w:rPr>
                <w:rFonts w:hint="eastAsia"/>
                <w:color w:val="auto"/>
                <w:sz w:val="24"/>
                <w:szCs w:val="24"/>
              </w:rPr>
              <w:t>审核时间：</w:t>
            </w:r>
            <w:r>
              <w:rPr>
                <w:rFonts w:hint="eastAsia"/>
                <w:color w:val="auto"/>
                <w:sz w:val="24"/>
                <w:szCs w:val="24"/>
                <w:lang w:val="en-US" w:eastAsia="zh-CN"/>
              </w:rPr>
              <w:t>2021.10.23</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Merge w:val="continue"/>
            <w:vAlign w:val="center"/>
          </w:tcPr>
          <w:p>
            <w:pPr>
              <w:spacing w:line="360" w:lineRule="auto"/>
            </w:pPr>
          </w:p>
        </w:tc>
        <w:tc>
          <w:tcPr>
            <w:tcW w:w="1140" w:type="dxa"/>
            <w:vMerge w:val="continue"/>
            <w:vAlign w:val="center"/>
          </w:tcPr>
          <w:p>
            <w:pPr>
              <w:spacing w:line="360" w:lineRule="auto"/>
            </w:pPr>
          </w:p>
        </w:tc>
        <w:tc>
          <w:tcPr>
            <w:tcW w:w="10004" w:type="dxa"/>
            <w:vAlign w:val="center"/>
          </w:tcPr>
          <w:p>
            <w:pPr>
              <w:spacing w:line="360" w:lineRule="auto"/>
              <w:rPr>
                <w:rFonts w:hint="eastAsia"/>
                <w:color w:val="auto"/>
                <w:sz w:val="24"/>
                <w:szCs w:val="24"/>
              </w:rPr>
            </w:pPr>
            <w:r>
              <w:rPr>
                <w:rFonts w:hint="eastAsia"/>
                <w:color w:val="auto"/>
                <w:sz w:val="24"/>
                <w:szCs w:val="24"/>
              </w:rPr>
              <w:t>审核条款：</w:t>
            </w:r>
          </w:p>
          <w:p>
            <w:pPr>
              <w:adjustRightInd w:val="0"/>
              <w:snapToGrid w:val="0"/>
              <w:ind w:right="105" w:rightChars="50"/>
              <w:textAlignment w:val="baseline"/>
              <w:rPr>
                <w:rFonts w:hint="eastAsia" w:ascii="宋体" w:hAnsi="宋体" w:cs="Arial"/>
                <w:color w:val="auto"/>
                <w:sz w:val="18"/>
                <w:szCs w:val="18"/>
              </w:rPr>
            </w:pPr>
            <w:r>
              <w:rPr>
                <w:rFonts w:hint="eastAsia" w:ascii="宋体" w:hAnsi="宋体" w:cs="Arial"/>
                <w:color w:val="auto"/>
                <w:sz w:val="18"/>
                <w:szCs w:val="18"/>
              </w:rPr>
              <w:t>QMS: 5.3组织的岗位、职责和权限、6.2质量目标、7.1.2人员、7.1.6组织知识、7.2能力、7.3意识、7.5.1形成文件的信息总则、7.5.2形成文件的信息的创建和更新、7.5.3形成文件的信息的控制</w:t>
            </w:r>
            <w:r>
              <w:rPr>
                <w:rFonts w:hint="eastAsia" w:ascii="宋体" w:hAnsi="宋体" w:cs="Arial"/>
                <w:color w:val="auto"/>
                <w:spacing w:val="-6"/>
                <w:sz w:val="18"/>
                <w:szCs w:val="18"/>
              </w:rPr>
              <w:t>、9.1.1监视、测量、分析和评价总则</w:t>
            </w:r>
            <w:r>
              <w:rPr>
                <w:rFonts w:hint="eastAsia" w:ascii="宋体" w:hAnsi="宋体" w:cs="Arial"/>
                <w:color w:val="auto"/>
                <w:sz w:val="18"/>
                <w:szCs w:val="18"/>
              </w:rPr>
              <w:t>、9.1.3分析与评价、9.2 内部审核、10.2不合格和纠正措施</w:t>
            </w:r>
          </w:p>
          <w:p>
            <w:pPr>
              <w:adjustRightInd w:val="0"/>
              <w:snapToGrid w:val="0"/>
              <w:ind w:right="105" w:rightChars="50"/>
              <w:textAlignment w:val="baseline"/>
              <w:rPr>
                <w:rFonts w:hint="eastAsia"/>
                <w:color w:val="auto"/>
                <w:sz w:val="24"/>
                <w:szCs w:val="24"/>
              </w:rPr>
            </w:pPr>
            <w:r>
              <w:rPr>
                <w:rFonts w:hint="eastAsia" w:ascii="宋体" w:hAnsi="宋体" w:cs="Arial"/>
                <w:color w:val="auto"/>
                <w:sz w:val="18"/>
                <w:szCs w:val="18"/>
              </w:rPr>
              <w:t>EMS/OHSMS: 5.3组织的岗位、职责和权限、6.2.1环境/职业健康安全目标、6.2.2实现环境/职业健康安全目标措施的策划、6.1.2环境因素/危险源的识别与评价、7.2能力、7.3意识、7.5.1形成文件的信息总则、7.5.2形成文件的信息的创建和更新、7.5.3形成文件的信息的控制、8.1运行策划和控制、8.2应急准备和响应、9.2 内部审核、10.2不符合/事件和纠正措施</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岗位、职责和权限</w:t>
            </w:r>
          </w:p>
        </w:tc>
        <w:tc>
          <w:tcPr>
            <w:tcW w:w="114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行政部现有3人，负责人1人，管理人员2人；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主要负责行政管理和人力资源管理；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部门环境因素、危险源的识别、评价及控制；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协助做好管理评审工作、组织开展内部审核。</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目标</w:t>
            </w:r>
          </w:p>
        </w:tc>
        <w:tc>
          <w:tcPr>
            <w:tcW w:w="114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查见“质量\环境\职业健康安全目标分解考核表”，见行政部的目标：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文件受控率达100%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供方评定合格率100%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 xml:space="preserve">培训合格率达100%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触电、火灾事故为0、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2021年1-6月考核，显示目标均已全部完成。</w:t>
            </w:r>
          </w:p>
          <w:p>
            <w:pPr>
              <w:pStyle w:val="3"/>
              <w:spacing w:line="360" w:lineRule="auto"/>
              <w:rPr>
                <w:rFonts w:hint="default"/>
                <w:color w:val="auto"/>
                <w:lang w:val="en-US" w:eastAsia="zh-CN"/>
              </w:rPr>
            </w:pPr>
            <w:r>
              <w:rPr>
                <w:rFonts w:hint="eastAsia"/>
                <w:color w:val="auto"/>
                <w:lang w:val="en-US" w:eastAsia="zh-CN"/>
              </w:rPr>
              <w:t>基本符合。</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Align w:val="top"/>
          </w:tcPr>
          <w:p>
            <w:pPr>
              <w:spacing w:line="360" w:lineRule="auto"/>
              <w:rPr>
                <w:rFonts w:hint="eastAsia"/>
                <w:color w:val="auto"/>
                <w:lang w:val="en-US" w:eastAsia="zh-CN"/>
              </w:rPr>
            </w:pPr>
            <w:r>
              <w:rPr>
                <w:rFonts w:hint="eastAsia"/>
                <w:color w:val="auto"/>
                <w:lang w:val="en-US" w:eastAsia="zh-CN"/>
              </w:rPr>
              <w:t>环境因素/危险源的识别与评价</w:t>
            </w:r>
          </w:p>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措施的策划</w:t>
            </w:r>
          </w:p>
        </w:tc>
        <w:tc>
          <w:tcPr>
            <w:tcW w:w="1140" w:type="dxa"/>
            <w:vAlign w:val="top"/>
          </w:tcPr>
          <w:p>
            <w:pPr>
              <w:spacing w:line="360" w:lineRule="auto"/>
              <w:jc w:val="center"/>
              <w:rPr>
                <w:rFonts w:hint="eastAsia"/>
                <w:color w:val="auto"/>
                <w:lang w:val="en-US" w:eastAsia="zh-CN"/>
              </w:rPr>
            </w:pPr>
            <w:r>
              <w:rPr>
                <w:rFonts w:hint="eastAsia"/>
                <w:color w:val="auto"/>
                <w:lang w:val="en-US" w:eastAsia="zh-CN"/>
              </w:rPr>
              <w:t>EO:6.1.2</w:t>
            </w:r>
          </w:p>
          <w:p>
            <w:pPr>
              <w:spacing w:line="360" w:lineRule="auto"/>
              <w:jc w:val="center"/>
              <w:rPr>
                <w:rFonts w:hint="eastAsia" w:ascii="Times New Roman" w:hAnsi="Times New Roman" w:eastAsia="宋体" w:cs="Times New Roman"/>
                <w:color w:val="auto"/>
                <w:kern w:val="2"/>
                <w:sz w:val="21"/>
                <w:lang w:val="en-US" w:eastAsia="zh-CN" w:bidi="ar-SA"/>
              </w:rPr>
            </w:pPr>
            <w:r>
              <w:rPr>
                <w:rFonts w:hint="eastAsia"/>
                <w:color w:val="auto"/>
                <w:lang w:val="en-US" w:eastAsia="zh-CN"/>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查“环境因素辨识和评价表”，对办公活动中的生活垃圾的处置不当污染环境、办公场所吸烟污染环境、复印机打印机废墨盒处置污染环境、火灾发生后污染大气、水土等进行了辨识和评价；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highlight w:val="none"/>
                <w:lang w:val="en-US" w:eastAsia="zh-CN"/>
              </w:rPr>
              <w:t>采取打分法评价，查到“重要环境因素清单”，</w:t>
            </w:r>
            <w:r>
              <w:rPr>
                <w:rFonts w:hint="eastAsia"/>
                <w:color w:val="auto"/>
                <w:lang w:val="en-US" w:eastAsia="zh-CN"/>
              </w:rPr>
              <w:t>经评价行政部无重要环境因素。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查“危害辨识、风险评价、风险控制工作表”，辨识和评价了办公活动过程中的危险源，主要包括火灾、触电、车辆伤害、中暑等。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highlight w:val="none"/>
                <w:lang w:val="en-US" w:eastAsia="zh-CN"/>
              </w:rPr>
              <w:t>对识别出的危险源采取D=LEC进行评价，查到“不可接受风险清单”，</w:t>
            </w:r>
            <w:r>
              <w:rPr>
                <w:rFonts w:hint="eastAsia"/>
                <w:color w:val="auto"/>
                <w:lang w:val="en-US" w:eastAsia="zh-CN"/>
              </w:rPr>
              <w:t>经评价行政部无不可接受风险。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策划了控制措施，制订了“质量、环境、职业健康安全管理方案”，明确了控制措施、时间要求、责任部门、责任和资源计划。</w:t>
            </w:r>
          </w:p>
        </w:tc>
        <w:tc>
          <w:tcPr>
            <w:tcW w:w="158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Align w:val="top"/>
          </w:tcPr>
          <w:p>
            <w:pPr>
              <w:spacing w:line="360" w:lineRule="auto"/>
              <w:rPr>
                <w:rFonts w:hint="default"/>
                <w:color w:val="auto"/>
                <w:lang w:val="en-US" w:eastAsia="zh-CN"/>
              </w:rPr>
            </w:pPr>
            <w:r>
              <w:rPr>
                <w:rFonts w:hint="eastAsia"/>
                <w:color w:val="auto"/>
                <w:lang w:val="en-US" w:eastAsia="zh-CN"/>
              </w:rPr>
              <w:t>人员/资源</w:t>
            </w:r>
          </w:p>
          <w:p>
            <w:pPr>
              <w:spacing w:line="360" w:lineRule="auto"/>
              <w:rPr>
                <w:rFonts w:hint="eastAsia"/>
                <w:color w:val="auto"/>
                <w:lang w:val="en-US" w:eastAsia="zh-CN"/>
              </w:rPr>
            </w:pPr>
            <w:r>
              <w:rPr>
                <w:rFonts w:hint="eastAsia"/>
                <w:color w:val="auto"/>
                <w:lang w:val="en-US" w:eastAsia="zh-CN"/>
              </w:rPr>
              <w:t>能力</w:t>
            </w:r>
          </w:p>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意识</w:t>
            </w:r>
          </w:p>
        </w:tc>
        <w:tc>
          <w:tcPr>
            <w:tcW w:w="1140" w:type="dxa"/>
            <w:vAlign w:val="top"/>
          </w:tcPr>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Q：7.1.2</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7.3</w:t>
            </w:r>
          </w:p>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EO:7.1</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spacing w:line="360" w:lineRule="auto"/>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7.3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建立有《人力资源控制程序》，无变化；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公司现有人员49人，管理人员、技术人员和操作员工等能够有效实施管理体系，并运行和控制其过程。</w:t>
            </w:r>
          </w:p>
          <w:p>
            <w:pPr>
              <w:pStyle w:val="3"/>
              <w:spacing w:line="360" w:lineRule="auto"/>
              <w:rPr>
                <w:rFonts w:hint="default"/>
                <w:color w:val="auto"/>
                <w:highlight w:val="none"/>
                <w:lang w:val="en-US" w:eastAsia="zh-CN"/>
              </w:rPr>
            </w:pPr>
            <w:r>
              <w:rPr>
                <w:rFonts w:hint="eastAsia"/>
                <w:color w:val="auto"/>
                <w:highlight w:val="none"/>
                <w:lang w:val="en-US" w:eastAsia="zh-CN"/>
              </w:rPr>
              <w:t>劳动合同——抽查肖XX、黄XX、周XX等人的的劳动合同，</w:t>
            </w:r>
            <w:r>
              <w:rPr>
                <w:rFonts w:hint="eastAsia"/>
                <w:color w:val="FF0000"/>
                <w:highlight w:val="none"/>
                <w:lang w:val="en-US" w:eastAsia="zh-CN"/>
              </w:rPr>
              <w:t>合同中未明确岗位职业健康安全风险，交流</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查见“2021年度员工培训计划”，计划开展管理手册、程序文件、管理目标及方案、安全生产知识培训、岗位技能培训等12项次；</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w:t>
            </w:r>
            <w:r>
              <w:rPr>
                <w:rFonts w:hint="eastAsia" w:ascii="宋体" w:hAnsi="宋体" w:cs="Arial"/>
                <w:spacing w:val="-6"/>
                <w:sz w:val="21"/>
                <w:szCs w:val="21"/>
                <w:lang w:val="en-US" w:eastAsia="zh-CN"/>
              </w:rPr>
              <w:t>“培训记录及培训效果评价表”，</w:t>
            </w:r>
            <w:r>
              <w:rPr>
                <w:rFonts w:hint="eastAsia"/>
                <w:color w:val="auto"/>
                <w:lang w:val="en-US" w:eastAsia="zh-CN"/>
              </w:rPr>
              <w:t>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管理手册、程序文件——2021.02.26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地方法律法规的培训——2021.04.22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环境、安全管理目标及方案——2021.05.16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查见人员证书：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eastAsia"/>
                <w:color w:val="auto"/>
                <w:szCs w:val="22"/>
                <w:lang w:val="en-US" w:eastAsia="zh-CN"/>
              </w:rPr>
              <w:t>聂立强——安全生产负责人，安全培训证书；2023.9.10；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eastAsia"/>
                <w:color w:val="auto"/>
                <w:szCs w:val="22"/>
                <w:lang w:val="en-US" w:eastAsia="zh-CN"/>
              </w:rPr>
              <w:t>关强——安全生产管理员，安全培训证书；2023.9.10；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张XX——Q4证书，2022.04，宜春市质量技术监督局发，有效；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eastAsia"/>
                <w:color w:val="auto"/>
                <w:szCs w:val="22"/>
                <w:lang w:val="en-US" w:eastAsia="zh-CN"/>
              </w:rPr>
              <w:t>田XX——N1证书，2023.09，宜春市质量技术监督局发，有效；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eastAsia"/>
                <w:color w:val="auto"/>
                <w:szCs w:val="22"/>
                <w:lang w:val="en-US" w:eastAsia="zh-CN"/>
              </w:rPr>
              <w:t>杨XX——焊接与热切割作业，2026.12.15，丰城市应急管理局，有效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蒋XX——低压电工作业；2026.12.15，安监总局监制，有效。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公司安全环保设施包括有灭火器、消防栓、布袋除尘装置、个体防护（劳保）用品、垃圾桶等；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经与部门负责人沟通交流，</w:t>
            </w:r>
            <w:r>
              <w:rPr>
                <w:rFonts w:hint="eastAsia"/>
                <w:color w:val="auto"/>
                <w:lang w:val="en-US" w:eastAsia="zh-CN"/>
              </w:rPr>
              <w:t>主要</w:t>
            </w:r>
            <w:r>
              <w:rPr>
                <w:rFonts w:hint="default"/>
                <w:color w:val="auto"/>
                <w:lang w:val="en-US" w:eastAsia="zh-CN"/>
              </w:rPr>
              <w:t>通过培训提高岗位作业水平和质量、环保、安全意识，</w:t>
            </w:r>
            <w:r>
              <w:rPr>
                <w:rFonts w:hint="eastAsia"/>
                <w:color w:val="auto"/>
                <w:lang w:val="en-US" w:eastAsia="zh-CN"/>
              </w:rPr>
              <w:t>询问</w:t>
            </w:r>
            <w:r>
              <w:rPr>
                <w:rFonts w:hint="default"/>
                <w:color w:val="auto"/>
                <w:lang w:val="en-US" w:eastAsia="zh-CN"/>
              </w:rPr>
              <w:t>部分员工，他们对公司的管理方针</w:t>
            </w:r>
            <w:r>
              <w:rPr>
                <w:rFonts w:hint="eastAsia"/>
                <w:color w:val="auto"/>
                <w:lang w:val="en-US" w:eastAsia="zh-CN"/>
              </w:rPr>
              <w:t>、</w:t>
            </w:r>
            <w:r>
              <w:rPr>
                <w:rFonts w:hint="default"/>
                <w:color w:val="auto"/>
                <w:lang w:val="en-US" w:eastAsia="zh-CN"/>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员工能</w:t>
            </w:r>
            <w:r>
              <w:rPr>
                <w:rFonts w:hint="default"/>
                <w:color w:val="auto"/>
                <w:lang w:val="en-US" w:eastAsia="zh-CN"/>
              </w:rPr>
              <w:t>明确自身职责及岗位要求，自身工作影响，如何提高产品质量、减少环境污染，员工人身安全意识等。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kern w:val="2"/>
                <w:sz w:val="21"/>
                <w:lang w:val="en-US" w:eastAsia="zh-CN" w:bidi="ar-SA"/>
              </w:rPr>
            </w:pPr>
            <w:r>
              <w:rPr>
                <w:rFonts w:hint="default"/>
                <w:color w:val="auto"/>
                <w:lang w:val="en-US" w:eastAsia="zh-CN"/>
              </w:rPr>
              <w:t>基本能满足要求。</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组织知识</w:t>
            </w:r>
          </w:p>
        </w:tc>
        <w:tc>
          <w:tcPr>
            <w:tcW w:w="1140"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Q：7.1.6</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kern w:val="2"/>
                <w:sz w:val="21"/>
                <w:lang w:val="en-US" w:eastAsia="zh-CN" w:bidi="ar-SA"/>
              </w:rPr>
            </w:pPr>
            <w:r>
              <w:rPr>
                <w:rFonts w:hint="eastAsia"/>
                <w:color w:val="auto"/>
                <w:lang w:val="en-US" w:eastAsia="zh-CN"/>
              </w:rPr>
              <w:t>在应对变化的需求和趋势时，相关部门考虑现有的知识，确定如何获取更多的必要的额外知识，并根据变化的情况及时更新。</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u w:val="none"/>
              </w:rPr>
              <w:t>运行策划和控制</w:t>
            </w:r>
          </w:p>
        </w:tc>
        <w:tc>
          <w:tcPr>
            <w:tcW w:w="1140"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u w:val="none"/>
                <w:lang w:val="en-US" w:eastAsia="zh-CN"/>
              </w:rPr>
              <w:t>EO:</w:t>
            </w:r>
            <w:r>
              <w:rPr>
                <w:rFonts w:hint="eastAsia" w:ascii="宋体" w:hAnsi="宋体" w:cs="Arial"/>
                <w:color w:val="auto"/>
                <w:spacing w:val="-6"/>
                <w:sz w:val="21"/>
                <w:szCs w:val="21"/>
                <w:u w:val="none"/>
              </w:rPr>
              <w:t>8.1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公司策划了环境安全管理</w:t>
            </w:r>
            <w:r>
              <w:rPr>
                <w:rFonts w:hint="eastAsia" w:cs="Times New Roman"/>
                <w:szCs w:val="22"/>
                <w:lang w:val="en-US" w:eastAsia="zh-CN"/>
              </w:rPr>
              <w:t>相关程序文件和管理</w:t>
            </w:r>
            <w:r>
              <w:rPr>
                <w:rFonts w:hint="eastAsia" w:ascii="Times New Roman" w:hAnsi="Times New Roman" w:eastAsia="宋体" w:cs="Times New Roman"/>
                <w:szCs w:val="2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环境因素和危险源识别评价与控制程序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环境和职业健康安全法律法规控制程序</w:t>
            </w:r>
            <w:r>
              <w:rPr>
                <w:rFonts w:hint="eastAsia" w:cs="Times New Roman"/>
                <w:szCs w:val="22"/>
                <w:lang w:val="en-US" w:eastAsia="zh-CN"/>
              </w:rPr>
              <w:t>、运行控制程序、废弃物控制程序、噪声控制程序、消防控制程序、设备控制程序、劳动防护用品控制程序、化学品油品控制程序、资源能源控制程序、应急准备和响应控制程序、事故调查处理控制程序、工艺作业指导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现场观察：配置的办公桌符合人机工程要求，干净整洁，照明、通风良好；配置有空调，温度适宜；有少量绿植；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查见配置有灭火器、消防栓，状态良好，保留检查</w:t>
            </w:r>
            <w:r>
              <w:rPr>
                <w:rFonts w:hint="eastAsia"/>
                <w:color w:val="auto"/>
                <w:lang w:val="en-US" w:eastAsia="zh-CN"/>
              </w:rPr>
              <w:t>记录；监控摄像头运行正常；应急疏散指示符合</w:t>
            </w:r>
            <w:r>
              <w:rPr>
                <w:rFonts w:hint="eastAsia"/>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生活废水经市政管网排放；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办公环境安静，无明显噪声和废气；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办公用固废集中回收，园区环卫部门收集处理；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办公用墨盒硒鼓等危废以旧换新。</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成文信息</w:t>
            </w:r>
          </w:p>
        </w:tc>
        <w:tc>
          <w:tcPr>
            <w:tcW w:w="1140" w:type="dxa"/>
            <w:vAlign w:val="top"/>
          </w:tcPr>
          <w:p>
            <w:pPr>
              <w:spacing w:line="360" w:lineRule="auto"/>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QEO:7.5</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策划了公司的管理体系文件，包括：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《管理手册》D/0版，管理体系于2020年6月15日实施。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另程序文件27个，D/0版，于2020年6月15日实施。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工艺作业指导书、进货验收规范等；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建立有外来文件清单，收集城市公共汽、电车候车亭CJ/T107-2013、广告灯箱设置安全技术规范DB31/T776-2014、中华人民共和国劳动合同法、中华人民共和国产品质量法、中华人民共和国安全生产法等；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成文信息由各部门负责保存，以便查阅。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经查，基本符合标准要求。</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监视、测量、分析和评价总则</w:t>
            </w:r>
          </w:p>
        </w:tc>
        <w:tc>
          <w:tcPr>
            <w:tcW w:w="114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Q:9.1.1</w:t>
            </w:r>
          </w:p>
          <w:p>
            <w:pPr>
              <w:spacing w:line="360" w:lineRule="auto"/>
              <w:jc w:val="center"/>
              <w:rPr>
                <w:rFonts w:hint="default"/>
                <w:color w:val="auto"/>
                <w:lang w:val="en-US" w:eastAsia="zh-CN"/>
              </w:rPr>
            </w:pPr>
            <w:r>
              <w:rPr>
                <w:rFonts w:hint="eastAsia" w:ascii="宋体" w:hAnsi="宋体" w:eastAsia="宋体" w:cs="Arial"/>
                <w:color w:val="auto"/>
                <w:spacing w:val="-6"/>
                <w:kern w:val="2"/>
                <w:sz w:val="21"/>
                <w:szCs w:val="21"/>
                <w:lang w:val="en-US" w:eastAsia="zh-CN" w:bidi="ar-SA"/>
              </w:rPr>
              <w:t>Q:9.1.3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保持有“监视和测量控制程序”，有效文件；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查“目标分解考核表”，半年一次对目标完成情况进行考核；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介绍说公司每年会召开会议，对年度工作进行总结，明确公司优势，提出公司发展中存在的问题，并对下年度的工作做出安排。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基本符合。</w:t>
            </w:r>
          </w:p>
        </w:tc>
        <w:tc>
          <w:tcPr>
            <w:tcW w:w="1585" w:type="dxa"/>
            <w:vAlign w:val="top"/>
          </w:tcPr>
          <w:p>
            <w:pPr>
              <w:spacing w:line="36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Align w:val="top"/>
          </w:tcPr>
          <w:p>
            <w:pPr>
              <w:spacing w:line="360" w:lineRule="auto"/>
              <w:rPr>
                <w:rFonts w:ascii="Times New Roman" w:hAnsi="Times New Roman" w:eastAsia="宋体" w:cs="Times New Roman"/>
                <w:color w:val="0000FF"/>
                <w:kern w:val="2"/>
                <w:sz w:val="21"/>
                <w:lang w:val="en-US" w:eastAsia="zh-CN" w:bidi="ar-SA"/>
              </w:rPr>
            </w:pPr>
            <w:r>
              <w:rPr>
                <w:rFonts w:hint="eastAsia"/>
                <w:color w:val="auto"/>
              </w:rPr>
              <w:t>内部审核</w:t>
            </w:r>
          </w:p>
        </w:tc>
        <w:tc>
          <w:tcPr>
            <w:tcW w:w="114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QEO:9.2</w:t>
            </w:r>
          </w:p>
          <w:p>
            <w:pPr>
              <w:pStyle w:val="3"/>
              <w:spacing w:line="360" w:lineRule="auto"/>
              <w:ind w:left="0" w:leftChars="0" w:firstLine="0" w:firstLineChars="0"/>
              <w:jc w:val="center"/>
              <w:rPr>
                <w:rFonts w:hint="default"/>
                <w:lang w:val="en-US" w:eastAsia="zh-CN"/>
              </w:rPr>
            </w:pPr>
            <w:r>
              <w:rPr>
                <w:rFonts w:hint="eastAsia" w:ascii="宋体" w:hAnsi="宋体" w:cs="Arial"/>
                <w:color w:val="auto"/>
                <w:spacing w:val="-6"/>
                <w:sz w:val="21"/>
                <w:szCs w:val="21"/>
                <w:lang w:val="en-US" w:eastAsia="zh-CN"/>
              </w:rPr>
              <w:t>10.2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制定有《内部审核程序》，有效文件；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保持《不符合、纠正和预防措施控制程序》、《事故调查处理控制程序》，有效文件。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2021年9月13</w:t>
            </w:r>
            <w:r>
              <w:rPr>
                <w:rFonts w:hint="eastAsia"/>
                <w:lang w:val="en-US" w:eastAsia="zh-CN"/>
              </w:rPr>
              <w:t>-14</w:t>
            </w:r>
            <w:r>
              <w:rPr>
                <w:rFonts w:hint="eastAsia"/>
              </w:rPr>
              <w:t>日</w:t>
            </w:r>
            <w:r>
              <w:rPr>
                <w:rFonts w:hint="eastAsia"/>
                <w:lang w:val="en-US" w:eastAsia="zh-CN"/>
              </w:rPr>
              <w:t>对贯标的各职能部门、生产单位进行内部审核，保留了内审计划、内审记录、不符合报告、内审报告；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 xml:space="preserve">本次内审开具不符合报告1份，已整改，经验证予以关闭；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内审结论为：三体系运行基本良好，运行达到一定的效果，基本符合ISO9001:2015；ISO14001:2015；ISO45001:2018标准的要求，但仍存在不足，各部门应举一反三，对类似问题予以整改。</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应急管理</w:t>
            </w:r>
          </w:p>
        </w:tc>
        <w:tc>
          <w:tcPr>
            <w:tcW w:w="114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EO:8.2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参加由生产部组织的演练，详见生产部记录。</w:t>
            </w:r>
          </w:p>
        </w:tc>
        <w:tc>
          <w:tcPr>
            <w:tcW w:w="1585"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C5DB7"/>
    <w:rsid w:val="16803A30"/>
    <w:rsid w:val="1ACA5148"/>
    <w:rsid w:val="20A575A1"/>
    <w:rsid w:val="2870165C"/>
    <w:rsid w:val="30D639C8"/>
    <w:rsid w:val="41495ED3"/>
    <w:rsid w:val="463B1514"/>
    <w:rsid w:val="46CF1AC9"/>
    <w:rsid w:val="4ACF0E85"/>
    <w:rsid w:val="68DA78C4"/>
    <w:rsid w:val="6952544E"/>
    <w:rsid w:val="728F3F70"/>
    <w:rsid w:val="7A153A3F"/>
    <w:rsid w:val="7A7E6F3E"/>
    <w:rsid w:val="7BAB2316"/>
    <w:rsid w:val="7BFB5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2021-10-26T00:54:36Z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