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4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财务部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鄢明珠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李茜兰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褚敏杰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2021.10.19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QMS:5.3组织的岗位、职责和权限、6.2质量目标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0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岗位、职责和权限</w:t>
            </w:r>
          </w:p>
        </w:tc>
        <w:tc>
          <w:tcPr>
            <w:tcW w:w="1140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QEO:5.3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财务部现有2人，会计1人，出纳1人；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主要负责资金管理；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部门环境因素、危险源的识别、评价及控制。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目标</w:t>
            </w:r>
          </w:p>
        </w:tc>
        <w:tc>
          <w:tcPr>
            <w:tcW w:w="1140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QEO:6.2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查见“质量\环境\职业健康安全目标分解考核表”，见财务部的目标：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1、环保、安全资金提供及时率100%；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2、固体废弃物分类管理，处理率为100%;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3、火灾、触电事故为0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2021年6-8月考核，显示目标均已全部完成。</w:t>
            </w:r>
          </w:p>
          <w:p>
            <w:pPr>
              <w:pStyle w:val="3"/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基本符合。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0" w:type="dxa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环境因素/危险源的识别与评价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措施的策划</w:t>
            </w:r>
          </w:p>
        </w:tc>
        <w:tc>
          <w:tcPr>
            <w:tcW w:w="114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EO:6.1.2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6.1.4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提供了环境因素和危险源识别评价与控制程序，有效文件，无变化。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“环境因素辨识和评价表”，对办公活动中的生活垃圾的处置不当污染环境、办公场所吸烟污染环境、复印机打印机废墨盒处置污染环境、火灾发生后污染大气、水土等进行了辨识和评价；考虑了生命周期观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采取打分法评价，查到“重要环境因素清单”，</w:t>
            </w:r>
            <w:r>
              <w:rPr>
                <w:rFonts w:hint="eastAsia"/>
                <w:color w:val="auto"/>
                <w:lang w:val="en-US" w:eastAsia="zh-CN"/>
              </w:rPr>
              <w:t>经评价财务部的重要环境因素为办公固废、潜在火灾。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查“危害辨识、风险评价、风险控制工作表”，辨识和评价了办公活动过程中的危险源，主要包括火灾、摔伤、高空坠落、交通意外伤害、烫伤等。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对识别出的危险源采取D=LEC进行评价，查到“不可接受风险清单”，</w:t>
            </w:r>
            <w:r>
              <w:rPr>
                <w:rFonts w:hint="eastAsia"/>
                <w:color w:val="auto"/>
                <w:lang w:val="en-US" w:eastAsia="zh-CN"/>
              </w:rPr>
              <w:t>经评价财务部的重大危险源有潜在触电、火灾事故。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策划了控制措施，制订了“环境安全管理方案”，明确了控制措施、时间要求、责任部门、责任和资源计划。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0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资源</w:t>
            </w:r>
          </w:p>
        </w:tc>
        <w:tc>
          <w:tcPr>
            <w:tcW w:w="1140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EO:7.1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提供安全环保经费清单，2021年共计投入资金320700元，用于员工意外保险费、安全教育培训费用、环保设施、垃圾处理、消防设备、劳保用品等；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>基本能满足要求。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运行策划和控制</w:t>
            </w:r>
          </w:p>
        </w:tc>
        <w:tc>
          <w:tcPr>
            <w:tcW w:w="11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8.1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公司策划了环境安全管理</w:t>
            </w:r>
            <w:r>
              <w:rPr>
                <w:rFonts w:hint="eastAsia" w:cs="Times New Roman"/>
                <w:szCs w:val="22"/>
                <w:lang w:val="en-US" w:eastAsia="zh-CN"/>
              </w:rPr>
              <w:t>相关程序文件和管理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制度：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运行控制程序、废弃物控制程序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噪声控制程序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消防控制程序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设备控制程序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劳动防护用品控制程序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化学品油品控制程序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资源能源控制程序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应急准备和响应控制程序</w:t>
            </w:r>
            <w:r>
              <w:rPr>
                <w:rFonts w:hint="eastAsia" w:cs="Times New Roman"/>
                <w:szCs w:val="22"/>
                <w:lang w:val="en-US" w:eastAsia="zh-CN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安全教育管理制度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仓库安全管理制度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“5S”活动细则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消防安全管理制度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劳动防护用品管理制度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 xml:space="preserve">      职业健康体检管理制度</w:t>
            </w:r>
            <w:r>
              <w:rPr>
                <w:rFonts w:hint="eastAsia" w:cs="Times New Roman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安全生产管理制度</w:t>
            </w:r>
            <w:r>
              <w:rPr>
                <w:rFonts w:hint="eastAsia" w:cs="Times New Roman"/>
                <w:szCs w:val="22"/>
                <w:lang w:val="en-US" w:eastAsia="zh-CN"/>
              </w:rPr>
              <w:t>、办公用品管理规程、节约用</w:t>
            </w:r>
            <w:bookmarkStart w:id="0" w:name="_GoBack"/>
            <w:bookmarkEnd w:id="0"/>
            <w:r>
              <w:rPr>
                <w:rFonts w:hint="eastAsia" w:cs="Times New Roman"/>
                <w:szCs w:val="22"/>
                <w:lang w:val="en-US" w:eastAsia="zh-CN"/>
              </w:rPr>
              <w:t>水管理规定、清洁绿化管理、主要设备意外应急及响应计划、垃圾管理规定、固体废弃物管理、废气、废水、污水管理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现场观察：配置的办公桌符合人机工程要求，干净整洁，照明、通风良好；配置有空调，温度适宜；有少量绿植；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查见配置有灭火器、消防栓，状态良好，保留检查记录；监控摄像头运行正常；应急疏散指示符合要求；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节约用水用电、纸张双面使用、禁止吸烟、无乱拉乱接电线、无超额电器使用；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生活废水经市政管网排放；无工业废水；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办公环境安静，无明显噪声和废气；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办公用固废集中回收，市政环卫部门收集处理；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办公用墨盒硒鼓等危废以旧换新。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FF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应急管理</w:t>
            </w:r>
          </w:p>
        </w:tc>
        <w:tc>
          <w:tcPr>
            <w:tcW w:w="11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EO:8.2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参加由生产部组织的演练，详见生产部记录。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Y</w:t>
            </w:r>
          </w:p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-31管理体系审核记录表(03版)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8240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EGquXWAAAACgEAAA8AAAAAAAAAAQAgAAAAIgAAAGRycy9kb3ducmV2Lnht&#10;bFBLAQIUABQAAAAIAIdO4kBMBgIR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-31管理体系审核记录表(03版)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03A30"/>
    <w:rsid w:val="1ACA5148"/>
    <w:rsid w:val="2E145C39"/>
    <w:rsid w:val="30D639C8"/>
    <w:rsid w:val="41495ED3"/>
    <w:rsid w:val="463B1514"/>
    <w:rsid w:val="46CF1AC9"/>
    <w:rsid w:val="4ACF0E85"/>
    <w:rsid w:val="68DA78C4"/>
    <w:rsid w:val="6952544E"/>
    <w:rsid w:val="728F3F70"/>
    <w:rsid w:val="7A153A3F"/>
    <w:rsid w:val="7A7E6F3E"/>
    <w:rsid w:val="7BAB2316"/>
    <w:rsid w:val="7BFB5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54</TotalTime>
  <ScaleCrop>false</ScaleCrop>
  <LinksUpToDate>false</LinksUpToDate>
  <CharactersWithSpaces>101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2021-10-19T06:16:54Z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