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3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57" w:type="dxa"/>
            <w:vAlign w:val="center"/>
          </w:tcPr>
          <w:p>
            <w:pPr>
              <w:rPr>
                <w:color w:val="auto"/>
                <w:sz w:val="24"/>
                <w:szCs w:val="24"/>
              </w:rPr>
            </w:pPr>
            <w:r>
              <w:rPr>
                <w:rFonts w:hint="eastAsia"/>
                <w:color w:val="auto"/>
                <w:sz w:val="24"/>
                <w:szCs w:val="24"/>
              </w:rPr>
              <w:t>受审核部门：管理层</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lang w:val="en-US" w:eastAsia="zh-CN"/>
              </w:rPr>
              <w:t>杨剑</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lang w:val="en-US" w:eastAsia="zh-CN"/>
              </w:rPr>
              <w:t>李红军（管代），</w:t>
            </w:r>
            <w:r>
              <w:rPr>
                <w:rFonts w:hint="eastAsia"/>
                <w:color w:val="auto"/>
                <w:sz w:val="24"/>
                <w:szCs w:val="24"/>
                <w:u w:val="none"/>
                <w:lang w:val="en-US" w:eastAsia="zh-CN"/>
              </w:rPr>
              <w:t xml:space="preserve">安全事务代表  </w:t>
            </w:r>
            <w:r>
              <w:rPr>
                <w:rFonts w:hint="eastAsia" w:ascii="宋体" w:hAnsi="宋体"/>
                <w:b/>
                <w:bCs/>
                <w:szCs w:val="21"/>
                <w:u w:val="none"/>
                <w:lang w:val="en-US" w:eastAsia="zh-CN"/>
              </w:rPr>
              <w:t>江锋</w:t>
            </w:r>
            <w:r>
              <w:rPr>
                <w:rFonts w:hint="eastAsia"/>
                <w:color w:val="auto"/>
                <w:sz w:val="24"/>
                <w:szCs w:val="24"/>
              </w:rPr>
              <w:t xml:space="preserve"> 陪同人员：</w:t>
            </w:r>
            <w:r>
              <w:rPr>
                <w:rFonts w:hint="eastAsia"/>
                <w:color w:val="auto"/>
                <w:sz w:val="24"/>
                <w:szCs w:val="24"/>
                <w:lang w:val="en-US" w:eastAsia="zh-CN"/>
              </w:rPr>
              <w:t>杨文先</w:t>
            </w:r>
            <w:r>
              <w:rPr>
                <w:rFonts w:hint="eastAsia"/>
                <w:color w:val="auto"/>
                <w:sz w:val="24"/>
                <w:szCs w:val="24"/>
              </w:rPr>
              <w:t xml:space="preserve"> </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tc>
        <w:tc>
          <w:tcPr>
            <w:tcW w:w="1134" w:type="dxa"/>
            <w:vMerge w:val="continue"/>
            <w:vAlign w:val="center"/>
          </w:tcPr>
          <w:p/>
        </w:tc>
        <w:tc>
          <w:tcPr>
            <w:tcW w:w="11057" w:type="dxa"/>
            <w:vAlign w:val="center"/>
          </w:tcPr>
          <w:p>
            <w:pPr>
              <w:spacing w:before="120"/>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审核时间：20</w:t>
            </w:r>
            <w:r>
              <w:rPr>
                <w:rFonts w:hint="eastAsia"/>
                <w:color w:val="auto"/>
                <w:sz w:val="24"/>
                <w:szCs w:val="24"/>
                <w:lang w:val="en-US" w:eastAsia="zh-CN"/>
              </w:rPr>
              <w:t>21年12月31日</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tc>
        <w:tc>
          <w:tcPr>
            <w:tcW w:w="1134" w:type="dxa"/>
            <w:vMerge w:val="continue"/>
            <w:vAlign w:val="center"/>
          </w:tcPr>
          <w:p/>
        </w:tc>
        <w:tc>
          <w:tcPr>
            <w:tcW w:w="11057" w:type="dxa"/>
            <w:vAlign w:val="center"/>
          </w:tcPr>
          <w:p>
            <w:pPr>
              <w:rPr>
                <w:sz w:val="24"/>
                <w:szCs w:val="24"/>
              </w:rPr>
            </w:pPr>
            <w:r>
              <w:rPr>
                <w:rFonts w:hint="eastAsia"/>
                <w:sz w:val="24"/>
                <w:szCs w:val="24"/>
              </w:rPr>
              <w:t>审核条款：</w:t>
            </w:r>
          </w:p>
          <w:p>
            <w:pPr>
              <w:spacing w:line="300" w:lineRule="exact"/>
              <w:rPr>
                <w:rFonts w:hint="eastAsia" w:ascii="宋体" w:hAnsi="宋体" w:eastAsia="宋体"/>
                <w:b/>
                <w:bCs/>
                <w:sz w:val="21"/>
                <w:szCs w:val="21"/>
                <w:lang w:val="en-US" w:eastAsia="zh-CN"/>
              </w:rPr>
            </w:pPr>
            <w:r>
              <w:rPr>
                <w:rFonts w:hint="eastAsia" w:ascii="宋体" w:hAnsi="宋体"/>
                <w:b/>
                <w:bCs/>
                <w:sz w:val="21"/>
                <w:szCs w:val="21"/>
              </w:rPr>
              <w:t>Q/(J)：Q:4.1/4.2/4.3/4.4/（3.1、3.3）5.1（4.3）/5.2（3.2）/5.3（4.3）/6.1（12.3-5）/6.2（3.2）/6.3（3.4）/7.1.1(3.4)/9.1.1（3.4.2、11.1.1、11.2、12.1、12.2.1-2）/9.3（12.4）/10.1(12.1)/10.3（12.5）</w:t>
            </w:r>
            <w:r>
              <w:rPr>
                <w:rFonts w:hint="eastAsia" w:ascii="宋体" w:hAnsi="宋体"/>
                <w:b/>
                <w:bCs/>
                <w:sz w:val="21"/>
                <w:szCs w:val="21"/>
                <w:lang w:val="en-US" w:eastAsia="zh-CN"/>
              </w:rPr>
              <w:t>；</w:t>
            </w:r>
          </w:p>
          <w:p>
            <w:pPr>
              <w:spacing w:line="300" w:lineRule="exact"/>
              <w:rPr>
                <w:rFonts w:hint="eastAsia" w:ascii="宋体" w:hAnsi="宋体"/>
                <w:b/>
                <w:bCs/>
                <w:sz w:val="21"/>
                <w:szCs w:val="21"/>
                <w:lang w:val="en-US" w:eastAsia="zh-CN"/>
              </w:rPr>
            </w:pPr>
            <w:r>
              <w:rPr>
                <w:rFonts w:ascii="宋体" w:hAnsi="宋体"/>
                <w:b/>
                <w:bCs/>
                <w:sz w:val="21"/>
                <w:szCs w:val="21"/>
              </w:rPr>
              <w:t>EO</w:t>
            </w:r>
            <w:r>
              <w:rPr>
                <w:rFonts w:hint="eastAsia" w:ascii="宋体" w:hAnsi="宋体"/>
                <w:b/>
                <w:bCs/>
                <w:sz w:val="21"/>
                <w:szCs w:val="21"/>
                <w:lang w:eastAsia="zh-CN"/>
              </w:rPr>
              <w:t>：</w:t>
            </w:r>
            <w:r>
              <w:rPr>
                <w:rFonts w:ascii="宋体" w:hAnsi="宋体"/>
                <w:b/>
                <w:bCs/>
                <w:sz w:val="21"/>
                <w:szCs w:val="21"/>
              </w:rPr>
              <w:t>4.1/4.2/4.3/4.4/5.1/5.2/5.3/5.4</w:t>
            </w:r>
            <w:r>
              <w:rPr>
                <w:rFonts w:hint="eastAsia" w:ascii="宋体" w:hAnsi="宋体"/>
                <w:b/>
                <w:bCs/>
                <w:sz w:val="21"/>
                <w:szCs w:val="21"/>
              </w:rPr>
              <w:t>（0）</w:t>
            </w:r>
            <w:r>
              <w:rPr>
                <w:rFonts w:ascii="宋体" w:hAnsi="宋体"/>
                <w:b/>
                <w:bCs/>
                <w:sz w:val="21"/>
                <w:szCs w:val="21"/>
              </w:rPr>
              <w:t>/6.1.1/</w:t>
            </w:r>
            <w:r>
              <w:rPr>
                <w:rFonts w:hint="eastAsia" w:ascii="宋体" w:hAnsi="宋体"/>
                <w:b/>
                <w:bCs/>
                <w:sz w:val="21"/>
                <w:szCs w:val="21"/>
                <w:lang w:val="en-US" w:eastAsia="zh-CN"/>
              </w:rPr>
              <w:t>6.1.2/</w:t>
            </w:r>
            <w:r>
              <w:rPr>
                <w:rFonts w:ascii="宋体" w:hAnsi="宋体"/>
                <w:b/>
                <w:bCs/>
                <w:sz w:val="21"/>
                <w:szCs w:val="21"/>
              </w:rPr>
              <w:t>6.1.4/6.2/7.1/9.1.1/9.3/10.1/10.3</w:t>
            </w:r>
            <w:r>
              <w:rPr>
                <w:rFonts w:hint="eastAsia" w:ascii="宋体" w:hAnsi="宋体"/>
                <w:b/>
                <w:bCs/>
                <w:sz w:val="21"/>
                <w:szCs w:val="21"/>
                <w:lang w:val="en-US" w:eastAsia="zh-CN"/>
              </w:rPr>
              <w:t>；</w:t>
            </w:r>
          </w:p>
          <w:p>
            <w:pPr>
              <w:spacing w:line="300" w:lineRule="exact"/>
            </w:pPr>
            <w:r>
              <w:rPr>
                <w:rFonts w:hint="eastAsia" w:ascii="宋体" w:hAnsi="宋体"/>
                <w:b/>
                <w:bCs/>
                <w:sz w:val="21"/>
                <w:szCs w:val="21"/>
              </w:rPr>
              <w:t>标准/规范/法规的执行情况、投诉或事故、监督抽查情况、体系变动</w:t>
            </w:r>
            <w:r>
              <w:rPr>
                <w:rFonts w:hint="eastAsia" w:ascii="宋体" w:hAnsi="宋体"/>
                <w:b/>
                <w:bCs/>
                <w:szCs w:val="21"/>
              </w:rPr>
              <w:t>资质验证/范围再确认/一阶段问题验证/投诉或事故/政府主管部门监督抽查情况</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jc w:val="both"/>
              <w:rPr>
                <w:b/>
              </w:rPr>
            </w:pPr>
            <w:r>
              <w:rPr>
                <w:rFonts w:hint="eastAsia"/>
                <w:szCs w:val="21"/>
              </w:rPr>
              <w:t>理解组织及其环境</w:t>
            </w:r>
          </w:p>
        </w:tc>
        <w:tc>
          <w:tcPr>
            <w:tcW w:w="1134" w:type="dxa"/>
            <w:vAlign w:val="top"/>
          </w:tcPr>
          <w:p>
            <w:pPr>
              <w:jc w:val="both"/>
              <w:rPr>
                <w:szCs w:val="21"/>
              </w:rPr>
            </w:pPr>
            <w:r>
              <w:rPr>
                <w:rFonts w:hint="eastAsia"/>
                <w:szCs w:val="21"/>
              </w:rPr>
              <w:t>QE</w:t>
            </w:r>
            <w:r>
              <w:rPr>
                <w:rFonts w:hint="eastAsia"/>
                <w:szCs w:val="21"/>
                <w:lang w:val="en-US" w:eastAsia="zh-CN"/>
              </w:rPr>
              <w:t>O</w:t>
            </w:r>
            <w:r>
              <w:rPr>
                <w:rFonts w:hint="eastAsia"/>
                <w:szCs w:val="21"/>
              </w:rPr>
              <w:t>4.1</w:t>
            </w:r>
          </w:p>
          <w:p>
            <w:pPr>
              <w:jc w:val="both"/>
              <w:rPr>
                <w:szCs w:val="21"/>
              </w:rPr>
            </w:pPr>
            <w:r>
              <w:rPr>
                <w:rFonts w:hint="eastAsia"/>
                <w:szCs w:val="21"/>
              </w:rPr>
              <w:t>J3.1</w:t>
            </w:r>
          </w:p>
        </w:tc>
        <w:tc>
          <w:tcPr>
            <w:tcW w:w="11057" w:type="dxa"/>
            <w:vAlign w:val="center"/>
          </w:tcPr>
          <w:p>
            <w:pPr>
              <w:ind w:firstLine="420" w:firstLineChars="200"/>
              <w:rPr>
                <w:rFonts w:hint="eastAsia"/>
              </w:rPr>
            </w:pPr>
            <w:r>
              <w:rPr>
                <w:rFonts w:hint="eastAsia"/>
                <w:lang w:val="en-US" w:eastAsia="zh-CN"/>
              </w:rPr>
              <w:t>四川中科正旋建设工程有限责任公司</w:t>
            </w:r>
            <w:r>
              <w:rPr>
                <w:rFonts w:hint="eastAsia"/>
              </w:rPr>
              <w:t>成立于201</w:t>
            </w:r>
            <w:r>
              <w:rPr>
                <w:rFonts w:hint="eastAsia"/>
                <w:lang w:val="en-US" w:eastAsia="zh-CN"/>
              </w:rPr>
              <w:t>6</w:t>
            </w:r>
            <w:r>
              <w:rPr>
                <w:rFonts w:hint="eastAsia"/>
              </w:rPr>
              <w:t>年1</w:t>
            </w:r>
            <w:r>
              <w:rPr>
                <w:rFonts w:hint="eastAsia"/>
                <w:lang w:val="en-US" w:eastAsia="zh-CN"/>
              </w:rPr>
              <w:t>0</w:t>
            </w:r>
            <w:r>
              <w:rPr>
                <w:rFonts w:hint="eastAsia"/>
              </w:rPr>
              <w:t>月</w:t>
            </w:r>
            <w:r>
              <w:rPr>
                <w:rFonts w:hint="eastAsia"/>
                <w:lang w:val="en-US" w:eastAsia="zh-CN"/>
              </w:rPr>
              <w:t>18日</w:t>
            </w:r>
            <w:r>
              <w:rPr>
                <w:rFonts w:hint="eastAsia"/>
              </w:rPr>
              <w:t>，注册资本</w:t>
            </w:r>
            <w:r>
              <w:rPr>
                <w:rFonts w:hint="eastAsia"/>
                <w:lang w:val="en-US" w:eastAsia="zh-CN"/>
              </w:rPr>
              <w:t>5188</w:t>
            </w:r>
            <w:r>
              <w:rPr>
                <w:rFonts w:hint="eastAsia"/>
              </w:rPr>
              <w:t>万元，主要从事房屋建筑</w:t>
            </w:r>
            <w:r>
              <w:rPr>
                <w:rFonts w:hint="eastAsia"/>
                <w:lang w:val="en-US" w:eastAsia="zh-CN"/>
              </w:rPr>
              <w:t>工程、建筑劳务分包</w:t>
            </w:r>
            <w:r>
              <w:rPr>
                <w:rFonts w:hint="eastAsia"/>
              </w:rPr>
              <w:t>、</w:t>
            </w:r>
            <w:r>
              <w:rPr>
                <w:rFonts w:hint="eastAsia"/>
                <w:lang w:val="en-US" w:eastAsia="zh-CN"/>
              </w:rPr>
              <w:t>地基与基础工程</w:t>
            </w:r>
            <w:r>
              <w:rPr>
                <w:rFonts w:hint="eastAsia"/>
              </w:rPr>
              <w:t>、</w:t>
            </w:r>
            <w:r>
              <w:rPr>
                <w:rFonts w:hint="eastAsia"/>
                <w:lang w:val="en-US" w:eastAsia="zh-CN"/>
              </w:rPr>
              <w:t>工程机械设备</w:t>
            </w:r>
            <w:r>
              <w:rPr>
                <w:rFonts w:hint="eastAsia"/>
              </w:rPr>
              <w:t>租赁</w:t>
            </w:r>
            <w:r>
              <w:rPr>
                <w:rFonts w:hint="eastAsia"/>
                <w:lang w:eastAsia="zh-CN"/>
              </w:rPr>
              <w:t>、</w:t>
            </w:r>
            <w:r>
              <w:rPr>
                <w:rFonts w:hint="eastAsia"/>
                <w:lang w:val="en-US" w:eastAsia="zh-CN"/>
              </w:rPr>
              <w:t>建辅</w:t>
            </w:r>
            <w:r>
              <w:rPr>
                <w:rFonts w:hint="eastAsia"/>
              </w:rPr>
              <w:t>建材销售等。</w:t>
            </w:r>
          </w:p>
          <w:p>
            <w:pPr>
              <w:ind w:firstLine="420" w:firstLineChars="200"/>
            </w:pPr>
            <w:r>
              <w:rPr>
                <w:rFonts w:hint="eastAsia"/>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ind w:firstLine="420" w:firstLineChars="200"/>
            </w:pPr>
            <w:r>
              <w:rPr>
                <w:rFonts w:hint="eastAsia"/>
              </w:rPr>
              <w:t>公司每年至少一次对这些内部和外部因素的相关信息进行监视和评审，以确保其充分和适宜。根据企业发展及经营管理的需求，公司组织了对管理体系标准的学习，依据标准的要求结合实际情况对管理体系进行了策划。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通过制定管理制度、作业文件及相关措施，对活动的主要环节实施了有效的控制。各种制度及规定基本建立。</w:t>
            </w:r>
          </w:p>
          <w:p>
            <w:pPr>
              <w:ind w:firstLine="210" w:firstLineChars="100"/>
            </w:pPr>
            <w:r>
              <w:t>组织依据标准的要求建立、实施、维护管理体系，符合标准要求。</w:t>
            </w:r>
          </w:p>
          <w:p>
            <w:pPr>
              <w:rPr>
                <w:color w:val="FF0000"/>
              </w:rPr>
            </w:pPr>
            <w:r>
              <w:rPr>
                <w:rFonts w:hint="eastAsia"/>
                <w:color w:val="FF0000"/>
              </w:rPr>
              <w:t>注册地址：</w:t>
            </w:r>
            <w:bookmarkStart w:id="0" w:name="注册地址"/>
            <w:r>
              <w:rPr>
                <w:color w:val="FF0000"/>
                <w:sz w:val="21"/>
                <w:szCs w:val="21"/>
              </w:rPr>
              <w:t>成都市武侯区武科东二路460号7栋14层1406号</w:t>
            </w:r>
            <w:bookmarkEnd w:id="0"/>
          </w:p>
          <w:p>
            <w:pPr>
              <w:rPr>
                <w:color w:val="FF0000"/>
              </w:rPr>
            </w:pPr>
            <w:r>
              <w:rPr>
                <w:rFonts w:hint="eastAsia"/>
                <w:color w:val="FF0000"/>
              </w:rPr>
              <w:t>与《营业执照》和《</w:t>
            </w:r>
            <w:r>
              <w:rPr>
                <w:rFonts w:hint="eastAsia"/>
                <w:color w:val="FF0000"/>
                <w:lang w:val="en-US" w:eastAsia="zh-CN"/>
              </w:rPr>
              <w:t>安全</w:t>
            </w:r>
            <w:r>
              <w:rPr>
                <w:rFonts w:hint="eastAsia"/>
                <w:color w:val="FF0000"/>
              </w:rPr>
              <w:t>许可证》内容一致。</w:t>
            </w:r>
          </w:p>
          <w:p>
            <w:pPr>
              <w:rPr>
                <w:rFonts w:hint="default"/>
                <w:color w:val="FF0000"/>
                <w:sz w:val="21"/>
                <w:szCs w:val="21"/>
                <w:lang w:val="en-US"/>
              </w:rPr>
            </w:pPr>
            <w:r>
              <w:rPr>
                <w:rFonts w:hint="eastAsia"/>
                <w:color w:val="FF0000"/>
                <w:sz w:val="21"/>
                <w:szCs w:val="21"/>
              </w:rPr>
              <w:t>经营地址：</w:t>
            </w:r>
            <w:r>
              <w:rPr>
                <w:color w:val="FF0000"/>
                <w:sz w:val="21"/>
                <w:szCs w:val="21"/>
              </w:rPr>
              <w:t>成都市武侯区武科东二路460号7栋14层1406号</w:t>
            </w:r>
            <w:r>
              <w:rPr>
                <w:rFonts w:hint="eastAsia"/>
                <w:color w:val="FF0000"/>
                <w:sz w:val="21"/>
                <w:szCs w:val="21"/>
                <w:lang w:eastAsia="zh-CN"/>
              </w:rPr>
              <w:t>；</w:t>
            </w:r>
            <w:r>
              <w:rPr>
                <w:rFonts w:hint="eastAsia"/>
                <w:color w:val="FF0000"/>
                <w:sz w:val="21"/>
                <w:szCs w:val="21"/>
                <w:lang w:val="en-US" w:eastAsia="zh-CN"/>
              </w:rPr>
              <w:t xml:space="preserve"> 日常办公有项目部及市场部人员办公；</w:t>
            </w:r>
          </w:p>
          <w:p>
            <w:pPr>
              <w:pStyle w:val="2"/>
              <w:rPr>
                <w:rFonts w:hint="eastAsia" w:eastAsia="宋体"/>
                <w:color w:val="FF0000"/>
                <w:sz w:val="21"/>
                <w:szCs w:val="21"/>
                <w:lang w:eastAsia="zh-CN"/>
              </w:rPr>
            </w:pPr>
            <w:r>
              <w:rPr>
                <w:rFonts w:hint="eastAsia"/>
                <w:color w:val="FF0000"/>
                <w:sz w:val="21"/>
                <w:szCs w:val="21"/>
              </w:rPr>
              <w:t>与</w:t>
            </w:r>
            <w:r>
              <w:rPr>
                <w:rFonts w:hint="eastAsia"/>
                <w:color w:val="FF0000"/>
                <w:sz w:val="21"/>
                <w:szCs w:val="21"/>
                <w:lang w:val="en-US" w:eastAsia="zh-CN"/>
              </w:rPr>
              <w:t>申报</w:t>
            </w:r>
            <w:r>
              <w:rPr>
                <w:rFonts w:hint="eastAsia"/>
                <w:color w:val="FF0000"/>
                <w:sz w:val="21"/>
                <w:szCs w:val="21"/>
              </w:rPr>
              <w:t>生产或服务现场一致</w:t>
            </w:r>
            <w:r>
              <w:rPr>
                <w:rFonts w:hint="eastAsia"/>
                <w:color w:val="FF0000"/>
                <w:sz w:val="21"/>
                <w:szCs w:val="21"/>
                <w:lang w:eastAsia="zh-CN"/>
              </w:rPr>
              <w:t>；</w:t>
            </w:r>
          </w:p>
          <w:p>
            <w:pPr>
              <w:rPr>
                <w:rFonts w:hint="default" w:eastAsia="宋体"/>
                <w:color w:val="FF0000"/>
                <w:sz w:val="21"/>
                <w:szCs w:val="21"/>
                <w:lang w:val="en-US" w:eastAsia="zh-CN"/>
              </w:rPr>
            </w:pPr>
            <w:r>
              <w:rPr>
                <w:rFonts w:hint="eastAsia"/>
                <w:color w:val="FF0000"/>
                <w:sz w:val="21"/>
                <w:szCs w:val="21"/>
                <w:lang w:val="en-US" w:eastAsia="zh-CN"/>
              </w:rPr>
              <w:t>多场所办公</w:t>
            </w:r>
            <w:r>
              <w:rPr>
                <w:rFonts w:hint="eastAsia"/>
                <w:color w:val="FF0000"/>
                <w:sz w:val="21"/>
                <w:szCs w:val="21"/>
              </w:rPr>
              <w:t>地址</w:t>
            </w:r>
            <w:r>
              <w:rPr>
                <w:rFonts w:hint="eastAsia"/>
                <w:color w:val="FF0000"/>
                <w:sz w:val="21"/>
                <w:szCs w:val="21"/>
                <w:lang w:val="en-US" w:eastAsia="zh-CN"/>
              </w:rPr>
              <w:t>2</w:t>
            </w:r>
            <w:r>
              <w:rPr>
                <w:rFonts w:hint="eastAsia"/>
                <w:color w:val="FF0000"/>
                <w:sz w:val="21"/>
                <w:szCs w:val="21"/>
              </w:rPr>
              <w:t xml:space="preserve">：重庆市南岸区凤临路9号金辉大厦A座11-3 </w:t>
            </w:r>
            <w:r>
              <w:rPr>
                <w:rFonts w:hint="eastAsia"/>
                <w:color w:val="FF0000"/>
                <w:sz w:val="21"/>
                <w:szCs w:val="21"/>
                <w:lang w:val="en-US" w:eastAsia="zh-CN"/>
              </w:rPr>
              <w:t>项目部管理人员等在此处办公。</w:t>
            </w:r>
          </w:p>
          <w:p>
            <w:pPr>
              <w:ind w:firstLine="422" w:firstLineChars="200"/>
              <w:rPr>
                <w:rFonts w:ascii="宋体" w:hAnsi="宋体" w:cs="宋体"/>
                <w:b/>
                <w:bCs/>
                <w:color w:val="FF0000"/>
                <w:sz w:val="21"/>
                <w:szCs w:val="21"/>
              </w:rPr>
            </w:pPr>
            <w:r>
              <w:rPr>
                <w:rFonts w:hint="eastAsia" w:ascii="宋体" w:hAnsi="宋体" w:cs="宋体"/>
                <w:b/>
                <w:bCs/>
                <w:color w:val="FF0000"/>
                <w:sz w:val="21"/>
                <w:szCs w:val="21"/>
              </w:rPr>
              <w:t>查工程</w:t>
            </w:r>
            <w:r>
              <w:rPr>
                <w:rFonts w:hint="eastAsia" w:ascii="宋体" w:hAnsi="宋体" w:cs="宋体"/>
                <w:b/>
                <w:bCs/>
                <w:color w:val="FF0000"/>
                <w:sz w:val="21"/>
                <w:szCs w:val="21"/>
                <w:lang w:val="en-US" w:eastAsia="zh-CN"/>
              </w:rPr>
              <w:t>施工</w:t>
            </w:r>
            <w:r>
              <w:rPr>
                <w:rFonts w:hint="eastAsia" w:ascii="宋体" w:hAnsi="宋体" w:cs="宋体"/>
                <w:b/>
                <w:bCs/>
                <w:color w:val="FF0000"/>
                <w:sz w:val="21"/>
                <w:szCs w:val="21"/>
              </w:rPr>
              <w:t>项目：</w:t>
            </w:r>
          </w:p>
          <w:p>
            <w:pPr>
              <w:ind w:firstLine="422" w:firstLineChars="200"/>
              <w:rPr>
                <w:rFonts w:ascii="宋体" w:hAnsi="宋体" w:cs="宋体"/>
                <w:b/>
                <w:bCs/>
                <w:color w:val="FF0000"/>
                <w:szCs w:val="21"/>
              </w:rPr>
            </w:pPr>
            <w:r>
              <w:rPr>
                <w:rFonts w:hint="eastAsia" w:ascii="宋体" w:hAnsi="宋体" w:cs="宋体"/>
                <w:b/>
                <w:bCs/>
                <w:color w:val="FF0000"/>
                <w:szCs w:val="21"/>
              </w:rPr>
              <w:t>工程名称：重庆江津万达广场项目1#地块桩基工程旋挖桩成孔和基坑支护，边坡降水施工专业分包</w:t>
            </w:r>
          </w:p>
          <w:p>
            <w:pPr>
              <w:ind w:firstLine="422" w:firstLineChars="200"/>
              <w:rPr>
                <w:rFonts w:ascii="宋体" w:hAnsi="宋体" w:cs="宋体"/>
                <w:b/>
                <w:bCs/>
                <w:color w:val="FF0000"/>
                <w:szCs w:val="21"/>
              </w:rPr>
            </w:pPr>
            <w:r>
              <w:rPr>
                <w:rFonts w:hint="eastAsia" w:ascii="宋体" w:hAnsi="宋体" w:cs="宋体"/>
                <w:b/>
                <w:bCs/>
                <w:color w:val="FF0000"/>
                <w:szCs w:val="21"/>
              </w:rPr>
              <w:t>发包方：中国建筑第二工程局有限公司</w:t>
            </w:r>
          </w:p>
          <w:p>
            <w:pPr>
              <w:ind w:firstLine="422" w:firstLineChars="200"/>
              <w:rPr>
                <w:rFonts w:ascii="宋体" w:hAnsi="宋体" w:cs="宋体"/>
                <w:b/>
                <w:bCs/>
                <w:color w:val="FF0000"/>
                <w:szCs w:val="21"/>
              </w:rPr>
            </w:pPr>
            <w:r>
              <w:rPr>
                <w:rFonts w:hint="eastAsia" w:ascii="宋体" w:hAnsi="宋体" w:cs="宋体"/>
                <w:b/>
                <w:bCs/>
                <w:color w:val="FF0000"/>
                <w:szCs w:val="21"/>
              </w:rPr>
              <w:t>承包方：四川中科正旋建设工程有限责任公司</w:t>
            </w:r>
          </w:p>
          <w:p>
            <w:pPr>
              <w:ind w:firstLine="422" w:firstLineChars="200"/>
              <w:rPr>
                <w:rFonts w:hint="default" w:eastAsia="宋体"/>
                <w:color w:val="FF0000"/>
                <w:lang w:val="en-US" w:eastAsia="zh-CN"/>
              </w:rPr>
            </w:pPr>
            <w:r>
              <w:rPr>
                <w:rFonts w:hint="eastAsia" w:ascii="宋体" w:hAnsi="宋体" w:cs="宋体"/>
                <w:b/>
                <w:bCs/>
                <w:color w:val="FF0000"/>
                <w:szCs w:val="21"/>
              </w:rPr>
              <w:t>项目地址：重庆江津滨江新城</w:t>
            </w:r>
          </w:p>
        </w:tc>
        <w:tc>
          <w:tcPr>
            <w:tcW w:w="709" w:type="dxa"/>
            <w:vAlign w:val="top"/>
          </w:tcPr>
          <w:p>
            <w:pPr>
              <w:jc w:val="both"/>
              <w:rPr>
                <w:rFonts w:hint="eastAsia" w:eastAsia="宋体"/>
                <w:b/>
                <w:lang w:val="en-US" w:eastAsia="zh-CN"/>
              </w:rPr>
            </w:pPr>
            <w:r>
              <w:rPr>
                <w:rFonts w:hint="eastAsia"/>
                <w:b/>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09" w:type="dxa"/>
            <w:vAlign w:val="top"/>
          </w:tcPr>
          <w:p>
            <w:pPr>
              <w:jc w:val="both"/>
              <w:rPr>
                <w:b/>
              </w:rPr>
            </w:pPr>
            <w:r>
              <w:rPr>
                <w:rFonts w:hint="eastAsia"/>
                <w:szCs w:val="21"/>
              </w:rPr>
              <w:t>理解相关方需求和期望</w:t>
            </w:r>
          </w:p>
        </w:tc>
        <w:tc>
          <w:tcPr>
            <w:tcW w:w="1134" w:type="dxa"/>
            <w:vAlign w:val="top"/>
          </w:tcPr>
          <w:p>
            <w:pPr>
              <w:jc w:val="both"/>
              <w:rPr>
                <w:szCs w:val="21"/>
              </w:rPr>
            </w:pPr>
            <w:r>
              <w:rPr>
                <w:rFonts w:hint="eastAsia"/>
                <w:szCs w:val="21"/>
              </w:rPr>
              <w:t>QE</w:t>
            </w:r>
            <w:r>
              <w:rPr>
                <w:rFonts w:hint="eastAsia"/>
                <w:szCs w:val="21"/>
                <w:lang w:val="en-US" w:eastAsia="zh-CN"/>
              </w:rPr>
              <w:t>O</w:t>
            </w:r>
            <w:r>
              <w:rPr>
                <w:rFonts w:hint="eastAsia"/>
                <w:szCs w:val="21"/>
              </w:rPr>
              <w:t>4.2</w:t>
            </w:r>
          </w:p>
          <w:p>
            <w:pPr>
              <w:jc w:val="both"/>
              <w:rPr>
                <w:szCs w:val="21"/>
              </w:rPr>
            </w:pPr>
            <w:r>
              <w:rPr>
                <w:rFonts w:hint="eastAsia"/>
                <w:szCs w:val="21"/>
              </w:rPr>
              <w:t>J3.1</w:t>
            </w:r>
          </w:p>
        </w:tc>
        <w:tc>
          <w:tcPr>
            <w:tcW w:w="11057" w:type="dxa"/>
            <w:vAlign w:val="center"/>
          </w:tcPr>
          <w:p>
            <w:pPr>
              <w:ind w:firstLine="420" w:firstLineChars="200"/>
              <w:rPr>
                <w:rFonts w:ascii="宋体" w:hAnsi="宋体" w:cs="宋体"/>
                <w:szCs w:val="21"/>
              </w:rPr>
            </w:pPr>
            <w:r>
              <w:rPr>
                <w:rFonts w:hint="eastAsia" w:ascii="宋体" w:hAnsi="宋体" w:cs="宋体"/>
                <w:szCs w:val="21"/>
              </w:rPr>
              <w:t>公司通过识别、分析，确定与质量管理体系有关的相关方。通过发放调查表、访谈、电话、网络、会议、座谈等方法保持与有关相关方的沟通，确定有关相关方的要求。</w:t>
            </w:r>
          </w:p>
          <w:p>
            <w:pPr>
              <w:ind w:firstLine="420" w:firstLineChars="200"/>
              <w:rPr>
                <w:rFonts w:ascii="宋体" w:hAnsi="宋体" w:cs="宋体"/>
                <w:szCs w:val="21"/>
              </w:rPr>
            </w:pPr>
            <w:r>
              <w:rPr>
                <w:rFonts w:hint="eastAsia" w:ascii="宋体" w:hAnsi="宋体" w:cs="宋体"/>
                <w:szCs w:val="21"/>
              </w:rPr>
              <w:t>公司目前所确定的有关相关方为：业主、顾客、员工、供方、</w:t>
            </w:r>
            <w:r>
              <w:rPr>
                <w:rFonts w:hint="eastAsia"/>
                <w:szCs w:val="21"/>
              </w:rPr>
              <w:t>社区</w:t>
            </w:r>
            <w:r>
              <w:rPr>
                <w:rFonts w:hint="eastAsia" w:ascii="宋体" w:hAnsi="宋体" w:cs="宋体"/>
                <w:szCs w:val="21"/>
              </w:rPr>
              <w:t>、政府相关部门、股东、监理方等。</w:t>
            </w:r>
          </w:p>
          <w:p>
            <w:pPr>
              <w:ind w:firstLine="420" w:firstLineChars="200"/>
              <w:rPr>
                <w:rFonts w:ascii="宋体" w:hAnsi="宋体" w:cs="宋体"/>
                <w:szCs w:val="21"/>
              </w:rPr>
            </w:pPr>
            <w:r>
              <w:rPr>
                <w:rFonts w:hint="eastAsia" w:ascii="宋体" w:hAnsi="宋体" w:cs="宋体"/>
                <w:szCs w:val="21"/>
              </w:rPr>
              <w:t>行政部负责通过与客户和供方的定期沟通，确定他们的要求，并通过与公司内部员工的沟通，确定他们的要求。通过企业知识、政府相关部门及网络，确定适用的法定要求。</w:t>
            </w:r>
          </w:p>
          <w:p>
            <w:pPr>
              <w:ind w:firstLine="420" w:firstLineChars="200"/>
              <w:rPr>
                <w:b/>
              </w:rPr>
            </w:pPr>
            <w:r>
              <w:rPr>
                <w:rFonts w:hint="eastAsia" w:ascii="宋体" w:hAnsi="宋体" w:cs="宋体"/>
                <w:szCs w:val="21"/>
              </w:rPr>
              <w:t>公司通过</w:t>
            </w:r>
            <w:r>
              <w:rPr>
                <w:rFonts w:hint="eastAsia"/>
                <w:szCs w:val="21"/>
              </w:rPr>
              <w:t>上级文件、</w:t>
            </w:r>
            <w:r>
              <w:rPr>
                <w:rFonts w:hint="eastAsia" w:ascii="宋体" w:hAnsi="宋体" w:cs="宋体"/>
                <w:szCs w:val="21"/>
              </w:rPr>
              <w:t>市场调查、</w:t>
            </w:r>
            <w:r>
              <w:rPr>
                <w:rFonts w:hint="eastAsia"/>
                <w:szCs w:val="21"/>
              </w:rPr>
              <w:t>标准和规范的获取、</w:t>
            </w:r>
            <w:r>
              <w:rPr>
                <w:rFonts w:hint="eastAsia" w:ascii="宋体" w:hAnsi="宋体" w:cs="宋体"/>
                <w:szCs w:val="21"/>
              </w:rPr>
              <w:t>顾客满意度调查、供方评价、政府检查、投诉、内审、管理评审等方式对相关方的信息及其要求进行监视和评审，并采取措施满足有关相关方的要求。</w:t>
            </w:r>
          </w:p>
        </w:tc>
        <w:tc>
          <w:tcPr>
            <w:tcW w:w="709" w:type="dxa"/>
            <w:vAlign w:val="top"/>
          </w:tcPr>
          <w:p>
            <w:pPr>
              <w:jc w:val="both"/>
              <w:rPr>
                <w:b/>
              </w:rPr>
            </w:pPr>
            <w:r>
              <w:rPr>
                <w:rFonts w:hint="eastAsia"/>
                <w:b/>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top"/>
          </w:tcPr>
          <w:p>
            <w:pPr>
              <w:jc w:val="both"/>
              <w:rPr>
                <w:b/>
              </w:rPr>
            </w:pPr>
            <w:r>
              <w:rPr>
                <w:rFonts w:hint="eastAsia"/>
                <w:szCs w:val="21"/>
              </w:rPr>
              <w:t>管理体系的范围</w:t>
            </w:r>
          </w:p>
        </w:tc>
        <w:tc>
          <w:tcPr>
            <w:tcW w:w="1134" w:type="dxa"/>
            <w:vAlign w:val="top"/>
          </w:tcPr>
          <w:p>
            <w:pPr>
              <w:jc w:val="both"/>
              <w:rPr>
                <w:szCs w:val="21"/>
              </w:rPr>
            </w:pPr>
            <w:r>
              <w:rPr>
                <w:rFonts w:hint="eastAsia"/>
                <w:szCs w:val="21"/>
              </w:rPr>
              <w:t>QE</w:t>
            </w:r>
            <w:r>
              <w:rPr>
                <w:rFonts w:hint="eastAsia"/>
                <w:szCs w:val="21"/>
                <w:lang w:val="en-US" w:eastAsia="zh-CN"/>
              </w:rPr>
              <w:t>O</w:t>
            </w:r>
            <w:r>
              <w:rPr>
                <w:rFonts w:hint="eastAsia"/>
                <w:szCs w:val="21"/>
              </w:rPr>
              <w:t>4.3</w:t>
            </w:r>
          </w:p>
          <w:p>
            <w:pPr>
              <w:jc w:val="both"/>
              <w:rPr>
                <w:szCs w:val="21"/>
              </w:rPr>
            </w:pPr>
            <w:r>
              <w:rPr>
                <w:rFonts w:hint="eastAsia"/>
                <w:szCs w:val="21"/>
              </w:rPr>
              <w:t>J3.1</w:t>
            </w:r>
          </w:p>
        </w:tc>
        <w:tc>
          <w:tcPr>
            <w:tcW w:w="11057" w:type="dxa"/>
            <w:vAlign w:val="center"/>
          </w:tcPr>
          <w:p>
            <w:pPr>
              <w:spacing w:line="0" w:lineRule="atLeast"/>
              <w:jc w:val="left"/>
              <w:rPr>
                <w:color w:val="auto"/>
                <w:sz w:val="21"/>
                <w:szCs w:val="21"/>
              </w:rPr>
            </w:pPr>
            <w:r>
              <w:rPr>
                <w:rFonts w:hint="eastAsia"/>
                <w:color w:val="auto"/>
                <w:sz w:val="21"/>
                <w:szCs w:val="21"/>
              </w:rPr>
              <w:t>公司质量、环境与职业健康安全管理体系的范围：</w:t>
            </w:r>
          </w:p>
          <w:p>
            <w:pPr>
              <w:rPr>
                <w:color w:val="auto"/>
                <w:sz w:val="21"/>
                <w:szCs w:val="21"/>
              </w:rPr>
            </w:pPr>
            <w:bookmarkStart w:id="1" w:name="审核范围"/>
            <w:r>
              <w:rPr>
                <w:color w:val="auto"/>
                <w:sz w:val="21"/>
                <w:szCs w:val="21"/>
              </w:rPr>
              <w:t>EC：资质范围内地基基础工程施工承包，施工劳务分包</w:t>
            </w:r>
          </w:p>
          <w:p>
            <w:pPr>
              <w:rPr>
                <w:color w:val="auto"/>
                <w:sz w:val="21"/>
                <w:szCs w:val="21"/>
              </w:rPr>
            </w:pPr>
            <w:r>
              <w:rPr>
                <w:color w:val="auto"/>
                <w:sz w:val="21"/>
                <w:szCs w:val="21"/>
              </w:rPr>
              <w:t>E：资质范围内地基基础工程施工承包，施工劳务分包所涉及场所的相关环境管理活动</w:t>
            </w:r>
          </w:p>
          <w:p>
            <w:pPr>
              <w:spacing w:line="360" w:lineRule="exact"/>
              <w:rPr>
                <w:color w:val="auto"/>
                <w:sz w:val="21"/>
                <w:szCs w:val="21"/>
              </w:rPr>
            </w:pPr>
            <w:r>
              <w:rPr>
                <w:color w:val="auto"/>
                <w:sz w:val="21"/>
                <w:szCs w:val="21"/>
              </w:rPr>
              <w:t>O：资质范围内地基基础工程施工承包，施工劳务分包所涉及场所的相关职业健康安全管理活动</w:t>
            </w:r>
            <w:bookmarkEnd w:id="1"/>
          </w:p>
          <w:p>
            <w:pPr>
              <w:spacing w:line="360" w:lineRule="exact"/>
              <w:rPr>
                <w:rFonts w:ascii="宋体" w:hAnsi="宋体" w:cs="宋体"/>
                <w:szCs w:val="21"/>
              </w:rPr>
            </w:pPr>
            <w:r>
              <w:rPr>
                <w:rFonts w:hint="eastAsia" w:ascii="宋体" w:hAnsi="宋体" w:cs="宋体"/>
                <w:szCs w:val="21"/>
              </w:rPr>
              <w:t>本手册确定了公司的质量、环境、职业健康安全方针、目标，本公司覆盖了GB/T19001：2016标准和GB/T50430-20</w:t>
            </w:r>
            <w:r>
              <w:rPr>
                <w:rFonts w:hint="eastAsia" w:ascii="宋体" w:hAnsi="宋体" w:cs="宋体"/>
                <w:szCs w:val="21"/>
                <w:lang w:val="en-US" w:eastAsia="zh-CN"/>
              </w:rPr>
              <w:t>1</w:t>
            </w:r>
            <w:r>
              <w:rPr>
                <w:rFonts w:hint="eastAsia" w:ascii="宋体" w:hAnsi="宋体" w:cs="宋体"/>
                <w:szCs w:val="21"/>
              </w:rPr>
              <w:t>7规范的所有条款，对环境/职业健康安全两个标准的全部条款（要求）进行了描述，并对每个条款（要求）作了适用于本公司的规定，是公司执行质量、环境、职业健康安全管理体系的纲领性文件，是公司全体员工必须遵循的行动准则。</w:t>
            </w:r>
          </w:p>
          <w:p>
            <w:pPr>
              <w:ind w:firstLine="420" w:firstLineChars="200"/>
              <w:rPr>
                <w:b/>
              </w:rPr>
            </w:pPr>
            <w:r>
              <w:rPr>
                <w:rFonts w:hint="eastAsia" w:ascii="宋体" w:hAnsi="宋体" w:cs="宋体"/>
                <w:szCs w:val="21"/>
              </w:rPr>
              <w:t>通过文件发放方式在公司内部进行传递；在与客户沟通中，及时通知客户，为相关方获取。上述范围与企业目前经营范围相一致。</w:t>
            </w:r>
          </w:p>
        </w:tc>
        <w:tc>
          <w:tcPr>
            <w:tcW w:w="709" w:type="dxa"/>
            <w:vAlign w:val="top"/>
          </w:tcPr>
          <w:p>
            <w:pPr>
              <w:jc w:val="both"/>
              <w:rPr>
                <w:b/>
              </w:rPr>
            </w:pPr>
            <w:r>
              <w:rPr>
                <w:rFonts w:hint="eastAsia"/>
                <w:b/>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809" w:type="dxa"/>
            <w:vAlign w:val="top"/>
          </w:tcPr>
          <w:p>
            <w:pPr>
              <w:jc w:val="both"/>
              <w:rPr>
                <w:b/>
              </w:rPr>
            </w:pPr>
            <w:r>
              <w:rPr>
                <w:rFonts w:hint="eastAsia"/>
                <w:szCs w:val="21"/>
              </w:rPr>
              <w:t>管理体系及其过程</w:t>
            </w:r>
          </w:p>
        </w:tc>
        <w:tc>
          <w:tcPr>
            <w:tcW w:w="1134" w:type="dxa"/>
            <w:vAlign w:val="top"/>
          </w:tcPr>
          <w:p>
            <w:pPr>
              <w:jc w:val="both"/>
              <w:rPr>
                <w:szCs w:val="21"/>
              </w:rPr>
            </w:pPr>
            <w:r>
              <w:rPr>
                <w:rFonts w:hint="eastAsia"/>
                <w:szCs w:val="21"/>
              </w:rPr>
              <w:t>QE</w:t>
            </w:r>
            <w:r>
              <w:rPr>
                <w:rFonts w:hint="eastAsia"/>
                <w:szCs w:val="21"/>
                <w:lang w:val="en-US" w:eastAsia="zh-CN"/>
              </w:rPr>
              <w:t>O</w:t>
            </w:r>
            <w:r>
              <w:rPr>
                <w:rFonts w:hint="eastAsia"/>
                <w:szCs w:val="21"/>
              </w:rPr>
              <w:t>4.4</w:t>
            </w:r>
          </w:p>
          <w:p>
            <w:pPr>
              <w:jc w:val="both"/>
              <w:rPr>
                <w:szCs w:val="21"/>
              </w:rPr>
            </w:pPr>
            <w:r>
              <w:rPr>
                <w:rFonts w:hint="eastAsia"/>
                <w:szCs w:val="21"/>
              </w:rPr>
              <w:t>J3.1</w:t>
            </w:r>
          </w:p>
        </w:tc>
        <w:tc>
          <w:tcPr>
            <w:tcW w:w="11057" w:type="dxa"/>
            <w:vAlign w:val="center"/>
          </w:tcPr>
          <w:p>
            <w:pPr>
              <w:numPr>
                <w:ilvl w:val="0"/>
                <w:numId w:val="1"/>
              </w:numPr>
              <w:rPr>
                <w:szCs w:val="21"/>
              </w:rPr>
            </w:pPr>
            <w:r>
              <w:rPr>
                <w:rFonts w:hint="eastAsia"/>
                <w:szCs w:val="21"/>
              </w:rPr>
              <w:t>依据 GB/T19001-2016、GB/T50430-2017、GB/T24001-2016、GB/T28001-2011标准，</w:t>
            </w:r>
            <w:r>
              <w:rPr>
                <w:rFonts w:hint="eastAsia"/>
                <w:color w:val="FF0000"/>
                <w:szCs w:val="21"/>
              </w:rPr>
              <w:t>于</w:t>
            </w:r>
            <w:r>
              <w:rPr>
                <w:rFonts w:hint="eastAsia"/>
                <w:color w:val="000000"/>
                <w:szCs w:val="18"/>
              </w:rPr>
              <w:t>2021年1月12日</w:t>
            </w:r>
            <w:r>
              <w:rPr>
                <w:rFonts w:hint="eastAsia"/>
                <w:szCs w:val="21"/>
              </w:rPr>
              <w:t>建立了质量、环境、职业健康安全管理体系。识别了标准中所需要的过程，确定了过程的相互顺序和作用：</w:t>
            </w:r>
            <w:r>
              <w:rPr>
                <w:szCs w:val="21"/>
              </w:rPr>
              <w:t>领导作用</w:t>
            </w:r>
            <w:r>
              <w:rPr>
                <w:rFonts w:hint="eastAsia"/>
                <w:szCs w:val="21"/>
              </w:rPr>
              <w:t>-</w:t>
            </w:r>
            <w:r>
              <w:rPr>
                <w:szCs w:val="21"/>
              </w:rPr>
              <w:t>策划</w:t>
            </w:r>
            <w:r>
              <w:rPr>
                <w:rFonts w:hint="eastAsia"/>
                <w:szCs w:val="21"/>
              </w:rPr>
              <w:t>-</w:t>
            </w:r>
            <w:r>
              <w:rPr>
                <w:szCs w:val="21"/>
              </w:rPr>
              <w:t>支持</w:t>
            </w:r>
            <w:r>
              <w:rPr>
                <w:rFonts w:hint="eastAsia"/>
                <w:szCs w:val="21"/>
              </w:rPr>
              <w:t>-</w:t>
            </w:r>
            <w:r>
              <w:rPr>
                <w:szCs w:val="21"/>
              </w:rPr>
              <w:t>运行</w:t>
            </w:r>
            <w:r>
              <w:rPr>
                <w:rFonts w:hint="eastAsia"/>
                <w:szCs w:val="21"/>
              </w:rPr>
              <w:t>-</w:t>
            </w:r>
            <w:r>
              <w:rPr>
                <w:szCs w:val="21"/>
              </w:rPr>
              <w:t>绩效评价</w:t>
            </w:r>
            <w:r>
              <w:rPr>
                <w:rFonts w:hint="eastAsia"/>
                <w:szCs w:val="21"/>
              </w:rPr>
              <w:t>-</w:t>
            </w:r>
            <w:r>
              <w:rPr>
                <w:szCs w:val="21"/>
              </w:rPr>
              <w:t>持续改进</w:t>
            </w:r>
            <w:r>
              <w:rPr>
                <w:rFonts w:hint="eastAsia"/>
                <w:szCs w:val="21"/>
              </w:rPr>
              <w:t>。</w:t>
            </w:r>
          </w:p>
          <w:p>
            <w:pPr>
              <w:rPr>
                <w:szCs w:val="21"/>
              </w:rPr>
            </w:pPr>
            <w:r>
              <w:rPr>
                <w:rFonts w:hint="eastAsia"/>
                <w:szCs w:val="21"/>
              </w:rPr>
              <w:t>2.公司明确规定产品执行标准（国家、行业标准）和客户要求，并通过各环节控制，监视、测量、考核使其达到有效运行。</w:t>
            </w:r>
          </w:p>
          <w:p>
            <w:pPr>
              <w:rPr>
                <w:szCs w:val="21"/>
              </w:rPr>
            </w:pPr>
            <w:r>
              <w:rPr>
                <w:rFonts w:hint="eastAsia"/>
                <w:szCs w:val="21"/>
              </w:rPr>
              <w:t>3.公司编制了管理手册、程序文件及作业管理性文件、记录表格等。通过管理手册、程序文件明确各部门职责、权限；资源管理，测量分析和改进、运行控制等过程。</w:t>
            </w:r>
          </w:p>
          <w:p>
            <w:pPr>
              <w:rPr>
                <w:szCs w:val="21"/>
              </w:rPr>
            </w:pPr>
            <w:r>
              <w:rPr>
                <w:rFonts w:hint="eastAsia"/>
                <w:szCs w:val="21"/>
              </w:rPr>
              <w:t>4.通过对各主要环节的风险评估，识别，评价并制定相应措施进行风险控制（包括实施过程中所需要的变更）。</w:t>
            </w:r>
          </w:p>
          <w:p>
            <w:pPr>
              <w:rPr>
                <w:szCs w:val="21"/>
              </w:rPr>
            </w:pPr>
            <w:r>
              <w:rPr>
                <w:rFonts w:hint="eastAsia"/>
                <w:szCs w:val="21"/>
              </w:rPr>
              <w:t>5、通过监视、测量和分析结果以及内审，管理评审等达到持续改进的目的。</w:t>
            </w:r>
          </w:p>
          <w:p>
            <w:pPr>
              <w:rPr>
                <w:rFonts w:hint="default" w:eastAsia="宋体"/>
                <w:b/>
                <w:lang w:val="en-US" w:eastAsia="zh-CN"/>
              </w:rPr>
            </w:pPr>
            <w:r>
              <w:rPr>
                <w:rFonts w:hint="eastAsia"/>
                <w:szCs w:val="21"/>
              </w:rPr>
              <w:t>6、经识别外包过程：</w:t>
            </w:r>
            <w:r>
              <w:rPr>
                <w:rFonts w:hint="eastAsia"/>
                <w:szCs w:val="21"/>
                <w:lang w:val="en-US" w:eastAsia="zh-CN"/>
              </w:rPr>
              <w:t>设备租赁。</w:t>
            </w:r>
          </w:p>
        </w:tc>
        <w:tc>
          <w:tcPr>
            <w:tcW w:w="709" w:type="dxa"/>
            <w:vAlign w:val="top"/>
          </w:tcPr>
          <w:p>
            <w:pPr>
              <w:jc w:val="both"/>
              <w:rPr>
                <w:b/>
              </w:rPr>
            </w:pPr>
            <w:r>
              <w:rPr>
                <w:rFonts w:hint="eastAsia"/>
                <w:b/>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top"/>
          </w:tcPr>
          <w:p>
            <w:pPr>
              <w:jc w:val="both"/>
              <w:rPr>
                <w:b/>
                <w:color w:val="auto"/>
              </w:rPr>
            </w:pPr>
            <w:r>
              <w:rPr>
                <w:rFonts w:hint="eastAsia"/>
                <w:color w:val="auto"/>
                <w:szCs w:val="21"/>
              </w:rPr>
              <w:t>管理承诺总则</w:t>
            </w:r>
          </w:p>
        </w:tc>
        <w:tc>
          <w:tcPr>
            <w:tcW w:w="1134" w:type="dxa"/>
            <w:vAlign w:val="top"/>
          </w:tcPr>
          <w:p>
            <w:pPr>
              <w:jc w:val="both"/>
              <w:rPr>
                <w:color w:val="auto"/>
                <w:szCs w:val="21"/>
              </w:rPr>
            </w:pPr>
            <w:r>
              <w:rPr>
                <w:rFonts w:hint="eastAsia"/>
                <w:color w:val="auto"/>
                <w:szCs w:val="21"/>
              </w:rPr>
              <w:t>Q5.1.1</w:t>
            </w:r>
          </w:p>
          <w:p>
            <w:pPr>
              <w:jc w:val="both"/>
              <w:rPr>
                <w:color w:val="auto"/>
                <w:szCs w:val="21"/>
              </w:rPr>
            </w:pPr>
            <w:r>
              <w:rPr>
                <w:rFonts w:hint="eastAsia"/>
                <w:color w:val="auto"/>
                <w:szCs w:val="21"/>
              </w:rPr>
              <w:t>E</w:t>
            </w:r>
            <w:r>
              <w:rPr>
                <w:rFonts w:hint="eastAsia"/>
                <w:color w:val="auto"/>
                <w:szCs w:val="21"/>
                <w:lang w:val="en-US" w:eastAsia="zh-CN"/>
              </w:rPr>
              <w:t>O</w:t>
            </w:r>
            <w:r>
              <w:rPr>
                <w:rFonts w:hint="eastAsia"/>
                <w:color w:val="auto"/>
                <w:szCs w:val="21"/>
              </w:rPr>
              <w:t>5.1</w:t>
            </w:r>
          </w:p>
          <w:p>
            <w:pPr>
              <w:jc w:val="both"/>
              <w:rPr>
                <w:color w:val="auto"/>
                <w:szCs w:val="21"/>
              </w:rPr>
            </w:pPr>
            <w:r>
              <w:rPr>
                <w:rFonts w:hint="eastAsia"/>
                <w:color w:val="auto"/>
                <w:szCs w:val="21"/>
              </w:rPr>
              <w:t>J4.3</w:t>
            </w:r>
          </w:p>
        </w:tc>
        <w:tc>
          <w:tcPr>
            <w:tcW w:w="11057" w:type="dxa"/>
            <w:vAlign w:val="center"/>
          </w:tcPr>
          <w:p>
            <w:pPr>
              <w:spacing w:line="400" w:lineRule="exact"/>
              <w:jc w:val="left"/>
              <w:rPr>
                <w:rFonts w:hint="default" w:ascii="宋体" w:hAnsi="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杨剑</w:t>
            </w:r>
            <w:r>
              <w:rPr>
                <w:rFonts w:hint="eastAsia" w:ascii="宋体" w:hAnsi="宋体" w:cs="宋体"/>
                <w:color w:val="auto"/>
                <w:szCs w:val="21"/>
              </w:rPr>
              <w:t>；管代：</w:t>
            </w:r>
            <w:r>
              <w:rPr>
                <w:rFonts w:hint="eastAsia" w:ascii="宋体" w:hAnsi="宋体" w:cs="宋体"/>
                <w:color w:val="auto"/>
                <w:szCs w:val="21"/>
                <w:lang w:val="en-US" w:eastAsia="zh-CN"/>
              </w:rPr>
              <w:t xml:space="preserve">李红军 </w:t>
            </w:r>
            <w:r>
              <w:rPr>
                <w:rFonts w:hint="eastAsia"/>
                <w:color w:val="auto"/>
                <w:sz w:val="24"/>
                <w:szCs w:val="24"/>
                <w:u w:val="none"/>
                <w:lang w:val="en-US" w:eastAsia="zh-CN"/>
              </w:rPr>
              <w:t xml:space="preserve">安全事务代表  </w:t>
            </w:r>
            <w:r>
              <w:rPr>
                <w:rFonts w:hint="eastAsia" w:ascii="宋体" w:hAnsi="宋体"/>
                <w:b/>
                <w:bCs/>
                <w:szCs w:val="21"/>
                <w:u w:val="none"/>
                <w:lang w:val="en-US" w:eastAsia="zh-CN"/>
              </w:rPr>
              <w:t>江锋</w:t>
            </w:r>
          </w:p>
          <w:p>
            <w:pPr>
              <w:spacing w:line="400" w:lineRule="exact"/>
              <w:jc w:val="left"/>
              <w:rPr>
                <w:rFonts w:ascii="宋体" w:hAnsi="宋体" w:cs="宋体"/>
                <w:color w:val="auto"/>
                <w:szCs w:val="21"/>
              </w:rPr>
            </w:pPr>
            <w:r>
              <w:rPr>
                <w:rFonts w:hint="eastAsia" w:ascii="宋体" w:hAnsi="宋体" w:cs="宋体"/>
                <w:color w:val="auto"/>
                <w:szCs w:val="21"/>
              </w:rPr>
              <w:t>通过与总经理</w:t>
            </w:r>
            <w:r>
              <w:rPr>
                <w:rFonts w:hint="eastAsia" w:ascii="宋体" w:hAnsi="宋体" w:cs="宋体"/>
                <w:color w:val="auto"/>
                <w:szCs w:val="21"/>
                <w:lang w:val="en-US" w:eastAsia="zh-CN"/>
              </w:rPr>
              <w:t>杨剑、</w:t>
            </w:r>
            <w:r>
              <w:rPr>
                <w:rFonts w:hint="eastAsia" w:ascii="宋体" w:hAnsi="宋体" w:cs="宋体"/>
                <w:color w:val="auto"/>
                <w:szCs w:val="21"/>
              </w:rPr>
              <w:t>管代</w:t>
            </w:r>
            <w:r>
              <w:rPr>
                <w:rFonts w:hint="eastAsia" w:ascii="宋体" w:hAnsi="宋体" w:cs="宋体"/>
                <w:color w:val="auto"/>
                <w:szCs w:val="21"/>
                <w:lang w:val="en-US" w:eastAsia="zh-CN"/>
              </w:rPr>
              <w:t>李红军 、</w:t>
            </w:r>
            <w:r>
              <w:rPr>
                <w:rFonts w:hint="eastAsia"/>
                <w:color w:val="auto"/>
                <w:sz w:val="24"/>
                <w:szCs w:val="24"/>
                <w:u w:val="none"/>
                <w:lang w:val="en-US" w:eastAsia="zh-CN"/>
              </w:rPr>
              <w:t xml:space="preserve">安全事务代表  </w:t>
            </w:r>
            <w:r>
              <w:rPr>
                <w:rFonts w:hint="eastAsia" w:ascii="宋体" w:hAnsi="宋体"/>
                <w:b/>
                <w:bCs/>
                <w:szCs w:val="21"/>
                <w:u w:val="none"/>
                <w:lang w:val="en-US" w:eastAsia="zh-CN"/>
              </w:rPr>
              <w:t>江锋</w:t>
            </w:r>
            <w:r>
              <w:rPr>
                <w:rFonts w:hint="eastAsia" w:ascii="宋体" w:hAnsi="宋体" w:cs="宋体"/>
                <w:color w:val="auto"/>
                <w:szCs w:val="21"/>
              </w:rPr>
              <w:t xml:space="preserve">交流：总经理从以下活动方式对公司建立、实施质量、环境和职业健康安全管理体系并持续改进其有效性所做出的承诺提供证据：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rPr>
                <w:b/>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709" w:type="dxa"/>
            <w:vAlign w:val="top"/>
          </w:tcPr>
          <w:p>
            <w:pPr>
              <w:jc w:val="both"/>
              <w:rPr>
                <w:b/>
                <w:color w:val="auto"/>
              </w:rPr>
            </w:pPr>
            <w:r>
              <w:rPr>
                <w:rFonts w:hint="eastAsia"/>
                <w:b/>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809" w:type="dxa"/>
            <w:vAlign w:val="top"/>
          </w:tcPr>
          <w:p>
            <w:pPr>
              <w:jc w:val="both"/>
              <w:rPr>
                <w:b/>
                <w:color w:val="auto"/>
              </w:rPr>
            </w:pPr>
            <w:r>
              <w:rPr>
                <w:rFonts w:hint="eastAsia"/>
                <w:color w:val="auto"/>
                <w:szCs w:val="21"/>
              </w:rPr>
              <w:t>以顾客为关注焦点</w:t>
            </w:r>
          </w:p>
        </w:tc>
        <w:tc>
          <w:tcPr>
            <w:tcW w:w="1134" w:type="dxa"/>
            <w:vAlign w:val="top"/>
          </w:tcPr>
          <w:p>
            <w:pPr>
              <w:jc w:val="both"/>
              <w:rPr>
                <w:b/>
                <w:color w:val="auto"/>
              </w:rPr>
            </w:pPr>
            <w:r>
              <w:rPr>
                <w:rFonts w:hint="eastAsia"/>
                <w:color w:val="auto"/>
                <w:szCs w:val="21"/>
              </w:rPr>
              <w:t>Q5.1.2</w:t>
            </w:r>
          </w:p>
        </w:tc>
        <w:tc>
          <w:tcPr>
            <w:tcW w:w="11057" w:type="dxa"/>
            <w:vAlign w:val="center"/>
          </w:tcPr>
          <w:p>
            <w:pPr>
              <w:ind w:firstLine="420" w:firstLineChars="200"/>
              <w:rPr>
                <w:color w:val="auto"/>
                <w:szCs w:val="21"/>
              </w:rPr>
            </w:pPr>
            <w:r>
              <w:rPr>
                <w:rFonts w:hint="eastAsia"/>
                <w:color w:val="auto"/>
                <w:szCs w:val="21"/>
              </w:rPr>
              <w:t>通过确定顾客相关要求，提供相应产品与相关服务，对顾客使用情况进行跟踪调查；并对顾客满意度感受进行测量与分析，以改进产品与服务。</w:t>
            </w:r>
          </w:p>
          <w:p>
            <w:pPr>
              <w:rPr>
                <w:b/>
                <w:color w:val="auto"/>
              </w:rPr>
            </w:pPr>
            <w:r>
              <w:rPr>
                <w:rFonts w:hint="eastAsia"/>
                <w:color w:val="auto"/>
                <w:szCs w:val="21"/>
              </w:rPr>
              <w:t>并策划和规定了由</w:t>
            </w:r>
            <w:r>
              <w:rPr>
                <w:rFonts w:hint="eastAsia"/>
                <w:color w:val="auto"/>
                <w:szCs w:val="21"/>
                <w:lang w:val="en-US" w:eastAsia="zh-CN"/>
              </w:rPr>
              <w:t>市场部</w:t>
            </w:r>
            <w:r>
              <w:rPr>
                <w:rFonts w:hint="eastAsia"/>
                <w:color w:val="auto"/>
                <w:szCs w:val="21"/>
              </w:rPr>
              <w:t>定期对顾客实施满意度测评，从各方面提高顾客的满意度。</w:t>
            </w:r>
          </w:p>
        </w:tc>
        <w:tc>
          <w:tcPr>
            <w:tcW w:w="709" w:type="dxa"/>
            <w:vAlign w:val="top"/>
          </w:tcPr>
          <w:p>
            <w:pPr>
              <w:jc w:val="both"/>
              <w:rPr>
                <w:b/>
                <w:color w:val="auto"/>
              </w:rPr>
            </w:pPr>
            <w:r>
              <w:rPr>
                <w:rFonts w:hint="eastAsia"/>
                <w:b/>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top"/>
          </w:tcPr>
          <w:p>
            <w:pPr>
              <w:jc w:val="both"/>
              <w:rPr>
                <w:b/>
                <w:color w:val="auto"/>
              </w:rPr>
            </w:pPr>
            <w:r>
              <w:rPr>
                <w:rFonts w:hint="eastAsia"/>
                <w:color w:val="auto"/>
                <w:szCs w:val="21"/>
              </w:rPr>
              <w:t>管理方针</w:t>
            </w:r>
          </w:p>
        </w:tc>
        <w:tc>
          <w:tcPr>
            <w:tcW w:w="1134" w:type="dxa"/>
            <w:vAlign w:val="top"/>
          </w:tcPr>
          <w:p>
            <w:pPr>
              <w:jc w:val="both"/>
              <w:rPr>
                <w:color w:val="auto"/>
                <w:szCs w:val="21"/>
              </w:rPr>
            </w:pPr>
            <w:r>
              <w:rPr>
                <w:rFonts w:hint="eastAsia"/>
                <w:color w:val="auto"/>
                <w:szCs w:val="21"/>
              </w:rPr>
              <w:t>QE</w:t>
            </w:r>
            <w:r>
              <w:rPr>
                <w:rFonts w:hint="eastAsia"/>
                <w:color w:val="auto"/>
                <w:szCs w:val="21"/>
                <w:lang w:val="en-US" w:eastAsia="zh-CN"/>
              </w:rPr>
              <w:t>O</w:t>
            </w:r>
            <w:r>
              <w:rPr>
                <w:rFonts w:hint="eastAsia"/>
                <w:color w:val="auto"/>
                <w:szCs w:val="21"/>
              </w:rPr>
              <w:t>5.2</w:t>
            </w:r>
          </w:p>
          <w:p>
            <w:pPr>
              <w:jc w:val="both"/>
              <w:rPr>
                <w:color w:val="auto"/>
                <w:szCs w:val="21"/>
              </w:rPr>
            </w:pPr>
            <w:r>
              <w:rPr>
                <w:rFonts w:hint="eastAsia"/>
                <w:color w:val="auto"/>
                <w:szCs w:val="21"/>
              </w:rPr>
              <w:t>J3.2</w:t>
            </w:r>
          </w:p>
        </w:tc>
        <w:tc>
          <w:tcPr>
            <w:tcW w:w="11057" w:type="dxa"/>
            <w:vAlign w:val="center"/>
          </w:tcPr>
          <w:p>
            <w:pPr>
              <w:jc w:val="left"/>
              <w:rPr>
                <w:rFonts w:ascii="宋体" w:hAnsi="宋体" w:cs="宋体"/>
                <w:color w:val="auto"/>
                <w:szCs w:val="21"/>
              </w:rPr>
            </w:pPr>
            <w:r>
              <w:rPr>
                <w:rFonts w:hint="eastAsia" w:ascii="宋体" w:hAnsi="宋体" w:cs="宋体"/>
                <w:color w:val="auto"/>
                <w:szCs w:val="21"/>
              </w:rPr>
              <w:t>质量、环境和职业健康安全管理方针：</w:t>
            </w:r>
            <w:r>
              <w:rPr>
                <w:rFonts w:hint="eastAsia"/>
                <w:color w:val="auto"/>
                <w:szCs w:val="18"/>
                <w:highlight w:val="none"/>
                <w:lang w:eastAsia="zh-CN"/>
              </w:rPr>
              <w:t>“</w:t>
            </w:r>
            <w:r>
              <w:rPr>
                <w:rFonts w:hint="eastAsia"/>
                <w:color w:val="auto"/>
                <w:szCs w:val="18"/>
                <w:highlight w:val="none"/>
              </w:rPr>
              <w:t>以人为本，开拓创新，持续改进质量；防尘降噪，遵守法规，提高环境绩效；安全第一，预防为主，杜绝重大事故</w:t>
            </w:r>
            <w:r>
              <w:rPr>
                <w:rFonts w:hint="eastAsia"/>
                <w:color w:val="auto"/>
                <w:szCs w:val="18"/>
                <w:highlight w:val="none"/>
                <w:lang w:eastAsia="zh-CN"/>
              </w:rPr>
              <w:t>”。</w:t>
            </w:r>
            <w:r>
              <w:rPr>
                <w:rFonts w:hint="eastAsia" w:ascii="宋体" w:hAnsi="宋体" w:cs="宋体"/>
                <w:color w:val="auto"/>
                <w:szCs w:val="21"/>
              </w:rPr>
              <w:t xml:space="preserve"> </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olor w:val="auto"/>
                <w:szCs w:val="21"/>
              </w:rPr>
              <w:t>公司通过过程的策划、实施、检查、改进（PDCA）的不断循环，确保工程质量、环境、职业健康安全工作；公司与顾客和相关方以诚相待，通过内、外部不断地沟通和管理评审，使质量、环境 职业健康安全管理体系得以持续改进，更好地满足顾客、相关方和市场不断变化的需求。目的是:遵守国家法律、法规，满足合同约定的质量要求; 在工程施土过程中及交工后，认真服务于发包方和社会，增强其满意程度，树立施工企业在市场中的良好形象; 追求质量管理改进，提高质量管理水</w:t>
            </w:r>
            <w:r>
              <w:rPr>
                <w:rFonts w:hint="eastAsia" w:ascii="宋体" w:hAnsi="宋体" w:cs="宋体"/>
                <w:color w:val="auto"/>
                <w:szCs w:val="21"/>
              </w:rPr>
              <w:t>；</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QES管理方针在手册上进行了确定和发布，并通过文件发放的形式发放至各部门、给员工进行了宣传培训。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QES方针对外进行了发布。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360" w:lineRule="auto"/>
              <w:ind w:firstLine="420" w:firstLineChars="200"/>
              <w:rPr>
                <w:rFonts w:ascii="宋体" w:hAnsi="宋体" w:cs="宋体"/>
                <w:color w:val="auto"/>
                <w:szCs w:val="21"/>
              </w:rPr>
            </w:pPr>
            <w:r>
              <w:rPr>
                <w:rFonts w:hint="eastAsia" w:ascii="宋体" w:hAnsi="宋体" w:cs="宋体"/>
                <w:color w:val="auto"/>
                <w:szCs w:val="21"/>
              </w:rPr>
              <w:t>企业的QES方针的内容和管理基本符合标准和法规要求。</w:t>
            </w:r>
          </w:p>
          <w:p>
            <w:pPr>
              <w:spacing w:line="360" w:lineRule="auto"/>
              <w:ind w:firstLine="420" w:firstLineChars="200"/>
              <w:rPr>
                <w:rFonts w:ascii="宋体" w:hAnsi="宋体"/>
                <w:color w:val="auto"/>
                <w:szCs w:val="21"/>
              </w:rPr>
            </w:pPr>
            <w:r>
              <w:rPr>
                <w:rFonts w:hint="eastAsia" w:ascii="宋体" w:hAnsi="宋体"/>
                <w:color w:val="auto"/>
                <w:szCs w:val="21"/>
              </w:rPr>
              <w:t>安全第一，预防污染-----安全生产责任重于泰山，生产必须安全，安全才能促进生产。以人为本、关爱生命是安全管理的核心理念，通过细化管理、建章立制来规范行为，以预防为主要控制手段消除隐患，实现安全生产。按照GB/T50430-2017标准要求，贯彻国家环境保护法律法规，提高员工环保意识，科学组织、合理规划，做到措施到位、降噪减尘、减排降耗、预防污染，营造良好施工环境，创造环保文明工地，达到环境和谐。</w:t>
            </w:r>
          </w:p>
        </w:tc>
        <w:tc>
          <w:tcPr>
            <w:tcW w:w="709" w:type="dxa"/>
            <w:vAlign w:val="top"/>
          </w:tcPr>
          <w:p>
            <w:pPr>
              <w:jc w:val="both"/>
              <w:rPr>
                <w:b/>
                <w:color w:val="auto"/>
              </w:rPr>
            </w:pPr>
            <w:r>
              <w:rPr>
                <w:rFonts w:hint="eastAsia"/>
                <w:b/>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top"/>
          </w:tcPr>
          <w:p>
            <w:pPr>
              <w:jc w:val="both"/>
              <w:rPr>
                <w:b/>
                <w:color w:val="auto"/>
              </w:rPr>
            </w:pPr>
            <w:r>
              <w:rPr>
                <w:rFonts w:hint="eastAsia"/>
                <w:color w:val="auto"/>
                <w:szCs w:val="21"/>
              </w:rPr>
              <w:t>组织的岗位、职责权限</w:t>
            </w:r>
          </w:p>
        </w:tc>
        <w:tc>
          <w:tcPr>
            <w:tcW w:w="1134" w:type="dxa"/>
            <w:vAlign w:val="top"/>
          </w:tcPr>
          <w:p>
            <w:pPr>
              <w:jc w:val="both"/>
              <w:rPr>
                <w:color w:val="auto"/>
                <w:szCs w:val="21"/>
              </w:rPr>
            </w:pPr>
            <w:r>
              <w:rPr>
                <w:rFonts w:hint="eastAsia"/>
                <w:color w:val="auto"/>
                <w:szCs w:val="21"/>
              </w:rPr>
              <w:t>QE</w:t>
            </w:r>
            <w:r>
              <w:rPr>
                <w:rFonts w:hint="eastAsia"/>
                <w:color w:val="auto"/>
                <w:szCs w:val="21"/>
                <w:lang w:val="en-US" w:eastAsia="zh-CN"/>
              </w:rPr>
              <w:t>O</w:t>
            </w:r>
            <w:r>
              <w:rPr>
                <w:rFonts w:hint="eastAsia"/>
                <w:color w:val="auto"/>
                <w:szCs w:val="21"/>
              </w:rPr>
              <w:t>5.3</w:t>
            </w:r>
          </w:p>
          <w:p>
            <w:pPr>
              <w:jc w:val="both"/>
              <w:rPr>
                <w:color w:val="auto"/>
                <w:szCs w:val="21"/>
              </w:rPr>
            </w:pPr>
            <w:r>
              <w:rPr>
                <w:rFonts w:hint="eastAsia"/>
                <w:color w:val="auto"/>
                <w:szCs w:val="21"/>
              </w:rPr>
              <w:t>J4.3</w:t>
            </w:r>
          </w:p>
        </w:tc>
        <w:tc>
          <w:tcPr>
            <w:tcW w:w="11057" w:type="dxa"/>
            <w:vAlign w:val="center"/>
          </w:tcPr>
          <w:p>
            <w:pPr>
              <w:ind w:firstLine="420" w:firstLineChars="200"/>
              <w:rPr>
                <w:bCs/>
                <w:color w:val="auto"/>
                <w:szCs w:val="21"/>
              </w:rPr>
            </w:pPr>
            <w:r>
              <w:rPr>
                <w:rFonts w:hint="eastAsia"/>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709" w:type="dxa"/>
            <w:vAlign w:val="top"/>
          </w:tcPr>
          <w:p>
            <w:pPr>
              <w:jc w:val="both"/>
              <w:rPr>
                <w:b/>
                <w:color w:val="auto"/>
              </w:rPr>
            </w:pPr>
            <w:r>
              <w:rPr>
                <w:rFonts w:hint="eastAsia"/>
                <w:b/>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809" w:type="dxa"/>
            <w:vAlign w:val="top"/>
          </w:tcPr>
          <w:p>
            <w:pPr>
              <w:jc w:val="both"/>
              <w:rPr>
                <w:rFonts w:hint="eastAsia" w:eastAsia="宋体"/>
                <w:color w:val="auto"/>
                <w:szCs w:val="21"/>
                <w:lang w:val="en-US" w:eastAsia="zh-CN"/>
              </w:rPr>
            </w:pPr>
            <w:r>
              <w:rPr>
                <w:rFonts w:hint="eastAsia" w:eastAsia="宋体"/>
                <w:color w:val="auto"/>
                <w:szCs w:val="21"/>
              </w:rPr>
              <w:t>工作人员的协商和参与</w:t>
            </w:r>
          </w:p>
        </w:tc>
        <w:tc>
          <w:tcPr>
            <w:tcW w:w="1134" w:type="dxa"/>
            <w:vAlign w:val="top"/>
          </w:tcPr>
          <w:p>
            <w:pPr>
              <w:jc w:val="both"/>
              <w:rPr>
                <w:rFonts w:hint="eastAsia" w:eastAsia="宋体"/>
                <w:color w:val="auto"/>
                <w:szCs w:val="21"/>
              </w:rPr>
            </w:pPr>
            <w:r>
              <w:rPr>
                <w:rFonts w:hint="eastAsia" w:eastAsia="宋体"/>
                <w:color w:val="auto"/>
                <w:szCs w:val="21"/>
                <w:lang w:val="en-US" w:eastAsia="zh-CN"/>
              </w:rPr>
              <w:t>O</w:t>
            </w:r>
            <w:r>
              <w:rPr>
                <w:rFonts w:hint="eastAsia" w:eastAsia="宋体"/>
                <w:color w:val="auto"/>
                <w:szCs w:val="21"/>
              </w:rPr>
              <w:t>5.4</w:t>
            </w:r>
          </w:p>
          <w:p>
            <w:pPr>
              <w:jc w:val="both"/>
              <w:rPr>
                <w:rFonts w:hint="eastAsia" w:eastAsia="宋体"/>
                <w:color w:val="auto"/>
                <w:szCs w:val="21"/>
                <w:lang w:val="en-US" w:eastAsia="zh-CN"/>
              </w:rPr>
            </w:pPr>
          </w:p>
        </w:tc>
        <w:tc>
          <w:tcPr>
            <w:tcW w:w="11057"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eastAsia="宋体" w:cs="宋体"/>
                <w:color w:val="auto"/>
                <w:szCs w:val="21"/>
              </w:rPr>
              <w:t>《协商、沟通和信息交流管理程序 》规</w:t>
            </w:r>
            <w:r>
              <w:rPr>
                <w:rFonts w:hint="eastAsia" w:ascii="宋体" w:hAnsi="宋体" w:cs="宋体"/>
                <w:color w:val="auto"/>
                <w:szCs w:val="21"/>
              </w:rPr>
              <w:t>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员工代表</w:t>
            </w:r>
            <w:r>
              <w:rPr>
                <w:rFonts w:hint="eastAsia" w:ascii="宋体" w:hAnsi="宋体" w:cs="宋体"/>
                <w:color w:val="auto"/>
                <w:szCs w:val="21"/>
                <w:lang w:val="en-US" w:eastAsia="zh-CN"/>
              </w:rPr>
              <w:t>汪锋</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eastAsia="zh-CN"/>
              </w:rPr>
              <w:t>员工代表</w:t>
            </w:r>
            <w:r>
              <w:rPr>
                <w:rFonts w:hint="eastAsia" w:ascii="宋体" w:hAnsi="宋体" w:cs="宋体"/>
                <w:color w:val="auto"/>
                <w:szCs w:val="21"/>
                <w:lang w:val="en-US" w:eastAsia="zh-CN"/>
              </w:rPr>
              <w:t>汪锋</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w:t>
            </w:r>
            <w:r>
              <w:rPr>
                <w:rFonts w:hint="eastAsia" w:ascii="宋体" w:hAnsi="宋体" w:cs="宋体"/>
                <w:color w:val="auto"/>
                <w:szCs w:val="21"/>
                <w:lang w:eastAsia="zh-CN"/>
              </w:rPr>
              <w:t>员工代表</w:t>
            </w:r>
            <w:r>
              <w:rPr>
                <w:rFonts w:hint="eastAsia" w:ascii="宋体" w:hAnsi="宋体" w:cs="宋体"/>
                <w:color w:val="auto"/>
                <w:szCs w:val="21"/>
                <w:lang w:val="en-US" w:eastAsia="zh-CN"/>
              </w:rPr>
              <w:t>汪锋</w:t>
            </w:r>
            <w:r>
              <w:rPr>
                <w:rFonts w:hint="eastAsia" w:ascii="宋体" w:hAnsi="宋体" w:cs="宋体"/>
                <w:color w:val="auto"/>
                <w:szCs w:val="21"/>
              </w:rPr>
              <w:t>，了解到暂</w:t>
            </w:r>
            <w:r>
              <w:rPr>
                <w:rFonts w:hint="eastAsia" w:ascii="宋体" w:hAnsi="宋体" w:cs="宋体"/>
                <w:color w:val="auto"/>
                <w:szCs w:val="21"/>
                <w:highlight w:val="none"/>
              </w:rPr>
              <w:t>未发生员工与企业的劳动纠纷、工伤、员工投诉、员工权益争执等情况。</w:t>
            </w:r>
          </w:p>
        </w:tc>
        <w:tc>
          <w:tcPr>
            <w:tcW w:w="709" w:type="dxa"/>
            <w:vAlign w:val="top"/>
          </w:tcPr>
          <w:p>
            <w:pPr>
              <w:rPr>
                <w:rFonts w:hint="eastAsia" w:ascii="Times New Roman" w:hAnsi="Times New Roman" w:eastAsia="宋体" w:cs="Times New Roman"/>
                <w:kern w:val="2"/>
                <w:sz w:val="21"/>
                <w:lang w:val="en-US" w:eastAsia="zh-CN" w:bidi="ar-SA"/>
              </w:rPr>
            </w:pPr>
            <w:r>
              <w:rPr>
                <w:rFonts w:hint="eastAsia" w:eastAsia="宋体"/>
                <w:b/>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809" w:type="dxa"/>
            <w:vAlign w:val="top"/>
          </w:tcPr>
          <w:p>
            <w:pPr>
              <w:jc w:val="both"/>
              <w:rPr>
                <w:b/>
                <w:color w:val="auto"/>
              </w:rPr>
            </w:pPr>
            <w:r>
              <w:rPr>
                <w:rFonts w:hint="eastAsia"/>
                <w:color w:val="auto"/>
                <w:szCs w:val="21"/>
              </w:rPr>
              <w:t>应对风险和机会的策划</w:t>
            </w:r>
          </w:p>
        </w:tc>
        <w:tc>
          <w:tcPr>
            <w:tcW w:w="1134" w:type="dxa"/>
            <w:vAlign w:val="top"/>
          </w:tcPr>
          <w:p>
            <w:pPr>
              <w:jc w:val="both"/>
              <w:rPr>
                <w:color w:val="auto"/>
                <w:szCs w:val="21"/>
              </w:rPr>
            </w:pPr>
            <w:r>
              <w:rPr>
                <w:rFonts w:hint="eastAsia"/>
                <w:color w:val="auto"/>
                <w:szCs w:val="21"/>
              </w:rPr>
              <w:t>Q6.1</w:t>
            </w:r>
          </w:p>
          <w:p>
            <w:pPr>
              <w:jc w:val="both"/>
              <w:rPr>
                <w:color w:val="auto"/>
                <w:szCs w:val="21"/>
              </w:rPr>
            </w:pPr>
            <w:r>
              <w:rPr>
                <w:rFonts w:hint="eastAsia"/>
                <w:color w:val="auto"/>
                <w:szCs w:val="21"/>
              </w:rPr>
              <w:t>E</w:t>
            </w:r>
            <w:r>
              <w:rPr>
                <w:rFonts w:hint="eastAsia"/>
                <w:color w:val="auto"/>
                <w:szCs w:val="21"/>
                <w:lang w:val="en-US" w:eastAsia="zh-CN"/>
              </w:rPr>
              <w:t>O</w:t>
            </w:r>
            <w:r>
              <w:rPr>
                <w:rFonts w:hint="eastAsia"/>
                <w:color w:val="auto"/>
                <w:szCs w:val="21"/>
              </w:rPr>
              <w:t>6.1.1</w:t>
            </w:r>
          </w:p>
          <w:p>
            <w:pPr>
              <w:jc w:val="both"/>
              <w:rPr>
                <w:color w:val="auto"/>
                <w:szCs w:val="21"/>
              </w:rPr>
            </w:pPr>
            <w:r>
              <w:rPr>
                <w:rFonts w:hint="eastAsia"/>
                <w:color w:val="auto"/>
                <w:szCs w:val="21"/>
              </w:rPr>
              <w:t>J12.3-5</w:t>
            </w:r>
          </w:p>
        </w:tc>
        <w:tc>
          <w:tcPr>
            <w:tcW w:w="11057" w:type="dxa"/>
            <w:vAlign w:val="center"/>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eastAsia="宋体" w:cs="宋体"/>
                <w:color w:val="auto"/>
                <w:szCs w:val="21"/>
              </w:rPr>
              <w:t>《环境因素识别评价控制程序》，内容包括</w:t>
            </w:r>
            <w:r>
              <w:rPr>
                <w:rFonts w:hint="eastAsia" w:ascii="宋体" w:hAnsi="宋体" w:cs="宋体"/>
                <w:color w:val="auto"/>
                <w:szCs w:val="21"/>
              </w:rPr>
              <w:t>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w:t>
            </w:r>
            <w:r>
              <w:rPr>
                <w:rFonts w:hint="eastAsia" w:ascii="宋体" w:hAnsi="宋体" w:cs="宋体"/>
                <w:color w:val="auto"/>
                <w:szCs w:val="21"/>
                <w:lang w:val="en-US" w:eastAsia="zh-CN"/>
              </w:rPr>
              <w:t>五</w:t>
            </w:r>
            <w:r>
              <w:rPr>
                <w:rFonts w:hint="eastAsia" w:ascii="宋体" w:hAnsi="宋体" w:cs="宋体"/>
                <w:color w:val="auto"/>
                <w:szCs w:val="21"/>
              </w:rPr>
              <w:t>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1）粉尘排放；2）噪声排放；3）固废（含危废）排放；4）废水排放；5）火灾爆炸。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抽查以下二项环境因素的控制措施：</w:t>
            </w:r>
          </w:p>
          <w:p>
            <w:pPr>
              <w:numPr>
                <w:ilvl w:val="0"/>
                <w:numId w:val="2"/>
              </w:numPr>
              <w:spacing w:line="400" w:lineRule="exact"/>
              <w:rPr>
                <w:rFonts w:ascii="宋体" w:hAnsi="宋体" w:cs="宋体"/>
                <w:color w:val="auto"/>
                <w:szCs w:val="21"/>
              </w:rPr>
            </w:pPr>
            <w:r>
              <w:rPr>
                <w:rFonts w:hint="eastAsia" w:ascii="宋体" w:hAnsi="宋体" w:cs="宋体"/>
                <w:color w:val="auto"/>
                <w:szCs w:val="21"/>
              </w:rPr>
              <w:t>噪声控制：</w:t>
            </w:r>
          </w:p>
          <w:p>
            <w:pPr>
              <w:spacing w:line="400" w:lineRule="exact"/>
              <w:rPr>
                <w:rFonts w:ascii="宋体" w:hAnsi="宋体" w:cs="宋体"/>
                <w:color w:val="auto"/>
                <w:szCs w:val="21"/>
              </w:rPr>
            </w:pPr>
            <w:r>
              <w:rPr>
                <w:rFonts w:hint="eastAsia" w:ascii="宋体" w:hAnsi="宋体" w:cs="宋体"/>
                <w:color w:val="auto"/>
                <w:szCs w:val="21"/>
              </w:rPr>
              <w:t>1）对噪声</w:t>
            </w:r>
            <w:r>
              <w:rPr>
                <w:rFonts w:hint="eastAsia" w:ascii="宋体" w:hAnsi="宋体" w:cs="宋体"/>
                <w:color w:val="auto"/>
                <w:szCs w:val="21"/>
                <w:lang w:val="en-US" w:eastAsia="zh-CN"/>
              </w:rPr>
              <w:t>大</w:t>
            </w:r>
            <w:r>
              <w:rPr>
                <w:rFonts w:hint="eastAsia" w:ascii="宋体" w:hAnsi="宋体" w:cs="宋体"/>
                <w:color w:val="auto"/>
                <w:szCs w:val="21"/>
              </w:rPr>
              <w:t>的设备进行隔音处理；</w:t>
            </w:r>
          </w:p>
          <w:p>
            <w:pPr>
              <w:spacing w:line="400" w:lineRule="exact"/>
              <w:rPr>
                <w:rFonts w:ascii="宋体" w:hAnsi="宋体" w:cs="宋体"/>
                <w:color w:val="auto"/>
                <w:szCs w:val="21"/>
              </w:rPr>
            </w:pPr>
            <w:r>
              <w:rPr>
                <w:rFonts w:hint="eastAsia" w:ascii="宋体" w:hAnsi="宋体" w:cs="宋体"/>
                <w:color w:val="auto"/>
                <w:szCs w:val="21"/>
              </w:rPr>
              <w:t>2）对噪声大的设备采取减震措施；</w:t>
            </w:r>
          </w:p>
          <w:p>
            <w:pPr>
              <w:spacing w:line="400" w:lineRule="exact"/>
              <w:rPr>
                <w:rFonts w:ascii="宋体" w:hAnsi="宋体" w:cs="宋体"/>
                <w:color w:val="auto"/>
                <w:szCs w:val="21"/>
              </w:rPr>
            </w:pPr>
            <w:r>
              <w:rPr>
                <w:rFonts w:hint="eastAsia" w:ascii="宋体" w:hAnsi="宋体" w:cs="宋体"/>
                <w:color w:val="auto"/>
                <w:szCs w:val="21"/>
              </w:rPr>
              <w:t>3）加强施工设备的维护、保养；</w:t>
            </w:r>
          </w:p>
          <w:p>
            <w:pPr>
              <w:spacing w:line="400" w:lineRule="exact"/>
              <w:rPr>
                <w:rFonts w:ascii="宋体" w:hAnsi="宋体" w:cs="宋体"/>
                <w:color w:val="auto"/>
                <w:szCs w:val="21"/>
              </w:rPr>
            </w:pPr>
            <w:r>
              <w:rPr>
                <w:rFonts w:hint="eastAsia" w:ascii="宋体" w:hAnsi="宋体" w:cs="宋体"/>
                <w:color w:val="auto"/>
                <w:szCs w:val="21"/>
              </w:rPr>
              <w:t>4）控制施工作业时间，避免午间、夜晚施工。</w:t>
            </w:r>
          </w:p>
          <w:p>
            <w:pPr>
              <w:widowControl/>
              <w:jc w:val="left"/>
              <w:rPr>
                <w:rFonts w:ascii="宋体" w:hAnsi="宋体" w:cs="宋体"/>
                <w:color w:val="auto"/>
                <w:szCs w:val="21"/>
              </w:rPr>
            </w:pPr>
            <w:r>
              <w:rPr>
                <w:rFonts w:hint="eastAsia" w:ascii="宋体" w:hAnsi="宋体" w:cs="宋体"/>
                <w:color w:val="auto"/>
                <w:szCs w:val="21"/>
              </w:rPr>
              <w:t>2、固废（含危废）废弃物：</w:t>
            </w:r>
          </w:p>
          <w:p>
            <w:pPr>
              <w:widowControl/>
              <w:jc w:val="left"/>
              <w:rPr>
                <w:rFonts w:ascii="宋体" w:hAnsi="宋体" w:cs="宋体"/>
                <w:color w:val="auto"/>
                <w:szCs w:val="21"/>
              </w:rPr>
            </w:pPr>
            <w:r>
              <w:rPr>
                <w:rFonts w:hint="eastAsia" w:ascii="宋体" w:hAnsi="宋体" w:cs="宋体"/>
                <w:color w:val="auto"/>
                <w:szCs w:val="21"/>
              </w:rPr>
              <w:t>1)可</w:t>
            </w:r>
            <w:r>
              <w:rPr>
                <w:rFonts w:hint="eastAsia" w:ascii="宋体" w:hAnsi="宋体" w:cs="宋体"/>
                <w:color w:val="auto"/>
                <w:szCs w:val="21"/>
                <w:lang w:val="en-US" w:eastAsia="zh-CN"/>
              </w:rPr>
              <w:t>再</w:t>
            </w:r>
            <w:r>
              <w:rPr>
                <w:rFonts w:hint="eastAsia" w:ascii="宋体" w:hAnsi="宋体" w:cs="宋体"/>
                <w:color w:val="auto"/>
                <w:szCs w:val="21"/>
              </w:rPr>
              <w:t>利用的物资进行回收；</w:t>
            </w:r>
          </w:p>
          <w:p>
            <w:pPr>
              <w:widowControl/>
              <w:jc w:val="left"/>
              <w:rPr>
                <w:rFonts w:ascii="宋体" w:hAnsi="宋体" w:cs="宋体"/>
                <w:color w:val="auto"/>
                <w:szCs w:val="21"/>
              </w:rPr>
            </w:pPr>
            <w:r>
              <w:rPr>
                <w:rFonts w:hint="eastAsia" w:ascii="宋体" w:hAnsi="宋体" w:cs="宋体"/>
                <w:color w:val="auto"/>
                <w:szCs w:val="21"/>
              </w:rPr>
              <w:t>2）生活垃圾交环卫公司清运、处理；</w:t>
            </w:r>
          </w:p>
          <w:p>
            <w:pPr>
              <w:widowControl/>
              <w:jc w:val="left"/>
              <w:rPr>
                <w:rFonts w:ascii="宋体" w:hAnsi="宋体" w:cs="宋体"/>
                <w:color w:val="auto"/>
                <w:szCs w:val="21"/>
              </w:rPr>
            </w:pPr>
            <w:r>
              <w:rPr>
                <w:rFonts w:hint="eastAsia" w:ascii="宋体" w:hAnsi="宋体" w:cs="宋体"/>
                <w:color w:val="auto"/>
                <w:szCs w:val="21"/>
              </w:rPr>
              <w:t>3）危险固废物交由</w:t>
            </w:r>
            <w:r>
              <w:rPr>
                <w:rFonts w:hint="eastAsia" w:ascii="宋体" w:hAnsi="宋体" w:cs="宋体"/>
                <w:color w:val="auto"/>
                <w:szCs w:val="21"/>
                <w:lang w:val="en-US" w:eastAsia="zh-CN"/>
              </w:rPr>
              <w:t>有</w:t>
            </w:r>
            <w:r>
              <w:rPr>
                <w:rFonts w:hint="eastAsia" w:ascii="宋体" w:hAnsi="宋体" w:cs="宋体"/>
                <w:color w:val="auto"/>
                <w:szCs w:val="21"/>
              </w:rPr>
              <w:t>资质的单位处理。</w:t>
            </w:r>
          </w:p>
          <w:p>
            <w:pPr>
              <w:pStyle w:val="11"/>
              <w:rPr>
                <w:color w:val="auto"/>
                <w:sz w:val="21"/>
                <w:szCs w:val="21"/>
              </w:rPr>
            </w:pPr>
            <w:r>
              <w:rPr>
                <w:rFonts w:hint="eastAsia" w:ascii="宋体" w:hAnsi="宋体" w:cs="宋体"/>
                <w:bCs w:val="0"/>
                <w:color w:val="auto"/>
                <w:spacing w:val="0"/>
                <w:sz w:val="21"/>
                <w:szCs w:val="21"/>
              </w:rPr>
              <w:t>应对风险和机遇的措施应与其对于产品和服务符合性的潜在影响相适应。</w:t>
            </w:r>
          </w:p>
        </w:tc>
        <w:tc>
          <w:tcPr>
            <w:tcW w:w="709" w:type="dxa"/>
            <w:vAlign w:val="top"/>
          </w:tcPr>
          <w:p>
            <w:pPr>
              <w:jc w:val="both"/>
              <w:rPr>
                <w:b/>
                <w:color w:val="auto"/>
              </w:rPr>
            </w:pPr>
            <w:r>
              <w:rPr>
                <w:rFonts w:hint="eastAsia"/>
                <w:b/>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top"/>
          </w:tcPr>
          <w:p>
            <w:pPr>
              <w:jc w:val="both"/>
              <w:rPr>
                <w:b/>
                <w:color w:val="auto"/>
              </w:rPr>
            </w:pPr>
            <w:r>
              <w:rPr>
                <w:rFonts w:hint="eastAsia"/>
                <w:color w:val="auto"/>
                <w:szCs w:val="21"/>
              </w:rPr>
              <w:t>环境因素、危险源</w:t>
            </w:r>
          </w:p>
        </w:tc>
        <w:tc>
          <w:tcPr>
            <w:tcW w:w="1134" w:type="dxa"/>
            <w:vAlign w:val="top"/>
          </w:tcPr>
          <w:p>
            <w:pPr>
              <w:jc w:val="both"/>
              <w:rPr>
                <w:color w:val="auto"/>
                <w:szCs w:val="21"/>
              </w:rPr>
            </w:pPr>
            <w:r>
              <w:rPr>
                <w:rFonts w:hint="eastAsia"/>
                <w:color w:val="auto"/>
                <w:szCs w:val="21"/>
              </w:rPr>
              <w:t>E</w:t>
            </w:r>
            <w:r>
              <w:rPr>
                <w:rFonts w:hint="eastAsia"/>
                <w:color w:val="auto"/>
                <w:szCs w:val="21"/>
                <w:lang w:val="en-US" w:eastAsia="zh-CN"/>
              </w:rPr>
              <w:t>O</w:t>
            </w:r>
            <w:r>
              <w:rPr>
                <w:rFonts w:hint="eastAsia"/>
                <w:color w:val="auto"/>
                <w:szCs w:val="21"/>
              </w:rPr>
              <w:t>6.1.2</w:t>
            </w:r>
          </w:p>
          <w:p>
            <w:pPr>
              <w:jc w:val="both"/>
              <w:rPr>
                <w:rFonts w:hint="default" w:eastAsia="宋体"/>
                <w:b/>
                <w:color w:val="auto"/>
                <w:lang w:val="en-US" w:eastAsia="zh-CN"/>
              </w:rPr>
            </w:pPr>
          </w:p>
        </w:tc>
        <w:tc>
          <w:tcPr>
            <w:tcW w:w="11057" w:type="dxa"/>
            <w:vAlign w:val="top"/>
          </w:tcPr>
          <w:p>
            <w:pPr>
              <w:ind w:firstLine="420" w:firstLineChars="200"/>
              <w:jc w:val="both"/>
              <w:rPr>
                <w:color w:val="auto"/>
                <w:szCs w:val="21"/>
              </w:rPr>
            </w:pPr>
            <w:r>
              <w:rPr>
                <w:rFonts w:hint="eastAsia"/>
                <w:color w:val="auto"/>
                <w:szCs w:val="21"/>
              </w:rPr>
              <w:t>策划、编制了《环境因素识别评价控制程序》及《危险源辨识、风险评价控制程序》。</w:t>
            </w:r>
          </w:p>
          <w:p>
            <w:pPr>
              <w:jc w:val="both"/>
              <w:rPr>
                <w:color w:val="auto"/>
                <w:szCs w:val="21"/>
              </w:rPr>
            </w:pPr>
            <w:r>
              <w:rPr>
                <w:rFonts w:hint="eastAsia"/>
                <w:color w:val="auto"/>
                <w:szCs w:val="21"/>
              </w:rPr>
              <w:t>20</w:t>
            </w:r>
            <w:r>
              <w:rPr>
                <w:rFonts w:hint="eastAsia"/>
                <w:color w:val="auto"/>
                <w:szCs w:val="21"/>
                <w:lang w:val="en-US" w:eastAsia="zh-CN"/>
              </w:rPr>
              <w:t>21</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21</w:t>
            </w:r>
            <w:r>
              <w:rPr>
                <w:rFonts w:hint="eastAsia"/>
                <w:color w:val="auto"/>
                <w:szCs w:val="21"/>
              </w:rPr>
              <w:t>日由行政部组织对环境因素、危险源进行了辨识、评价及控制措施的制定。</w:t>
            </w:r>
          </w:p>
          <w:p>
            <w:pPr>
              <w:ind w:firstLine="420" w:firstLineChars="200"/>
              <w:jc w:val="both"/>
              <w:rPr>
                <w:color w:val="auto"/>
                <w:szCs w:val="21"/>
              </w:rPr>
            </w:pPr>
            <w:r>
              <w:rPr>
                <w:rFonts w:hint="eastAsia"/>
                <w:color w:val="auto"/>
                <w:szCs w:val="21"/>
              </w:rPr>
              <w:t>评价得出的重要环境因素为</w:t>
            </w:r>
            <w:r>
              <w:rPr>
                <w:rFonts w:hint="eastAsia"/>
                <w:color w:val="auto"/>
                <w:szCs w:val="21"/>
                <w:lang w:val="en-US" w:eastAsia="zh-CN"/>
              </w:rPr>
              <w:t>粉尘排放、噪声排放、固废（含危废）排放、废水排放、火灾爆炸</w:t>
            </w:r>
            <w:r>
              <w:rPr>
                <w:rFonts w:hint="eastAsia"/>
                <w:color w:val="auto"/>
                <w:szCs w:val="21"/>
              </w:rPr>
              <w:t>的发生等。提供环境因素识别与评价清单、危险源辨识风险评价清单（汇总表）、重要环境因素清单、查到不可接受风险为火灾爆炸、触电、车辆伤害、物体打击、机械伤害、坍塌倒塌、高处坠落、中暑、新冠肺炎等。评价基本准确，详见各部门相关条款审核记录。</w:t>
            </w:r>
          </w:p>
        </w:tc>
        <w:tc>
          <w:tcPr>
            <w:tcW w:w="709" w:type="dxa"/>
            <w:vAlign w:val="top"/>
          </w:tcPr>
          <w:p>
            <w:pPr>
              <w:jc w:val="both"/>
              <w:rPr>
                <w:b/>
                <w:color w:val="auto"/>
              </w:rPr>
            </w:pPr>
            <w:r>
              <w:rPr>
                <w:rFonts w:hint="eastAsia"/>
                <w:b/>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809" w:type="dxa"/>
            <w:vAlign w:val="top"/>
          </w:tcPr>
          <w:p>
            <w:pPr>
              <w:jc w:val="both"/>
              <w:rPr>
                <w:b/>
                <w:color w:val="auto"/>
              </w:rPr>
            </w:pPr>
            <w:r>
              <w:rPr>
                <w:rFonts w:hint="eastAsia"/>
                <w:color w:val="auto"/>
                <w:szCs w:val="21"/>
              </w:rPr>
              <w:t>策划措施</w:t>
            </w:r>
          </w:p>
        </w:tc>
        <w:tc>
          <w:tcPr>
            <w:tcW w:w="1134" w:type="dxa"/>
            <w:vAlign w:val="top"/>
          </w:tcPr>
          <w:p>
            <w:pPr>
              <w:jc w:val="both"/>
              <w:rPr>
                <w:b/>
                <w:color w:val="auto"/>
              </w:rPr>
            </w:pPr>
            <w:r>
              <w:rPr>
                <w:rFonts w:hint="eastAsia"/>
                <w:color w:val="auto"/>
                <w:szCs w:val="21"/>
              </w:rPr>
              <w:t>E</w:t>
            </w:r>
            <w:r>
              <w:rPr>
                <w:rFonts w:hint="eastAsia"/>
                <w:color w:val="auto"/>
                <w:szCs w:val="21"/>
                <w:lang w:val="en-US" w:eastAsia="zh-CN"/>
              </w:rPr>
              <w:t>O</w:t>
            </w:r>
            <w:r>
              <w:rPr>
                <w:rFonts w:hint="eastAsia"/>
                <w:color w:val="auto"/>
                <w:szCs w:val="21"/>
              </w:rPr>
              <w:t>6.1.4</w:t>
            </w:r>
          </w:p>
        </w:tc>
        <w:tc>
          <w:tcPr>
            <w:tcW w:w="11057" w:type="dxa"/>
            <w:vAlign w:val="center"/>
          </w:tcPr>
          <w:p>
            <w:pPr>
              <w:ind w:firstLine="420" w:firstLineChars="200"/>
              <w:rPr>
                <w:b/>
                <w:color w:val="auto"/>
              </w:rPr>
            </w:pPr>
            <w:r>
              <w:rPr>
                <w:rFonts w:hint="eastAsia"/>
                <w:color w:val="auto"/>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709" w:type="dxa"/>
            <w:vAlign w:val="top"/>
          </w:tcPr>
          <w:p>
            <w:pPr>
              <w:jc w:val="both"/>
              <w:rPr>
                <w:rFonts w:hint="eastAsia" w:eastAsia="宋体"/>
                <w:b/>
                <w:color w:val="auto"/>
                <w:lang w:val="en-US" w:eastAsia="zh-CN"/>
              </w:rPr>
            </w:pPr>
            <w:r>
              <w:rPr>
                <w:rFonts w:hint="eastAsia"/>
                <w:b/>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top"/>
          </w:tcPr>
          <w:p>
            <w:pPr>
              <w:jc w:val="both"/>
              <w:rPr>
                <w:b/>
                <w:color w:val="auto"/>
              </w:rPr>
            </w:pPr>
            <w:r>
              <w:rPr>
                <w:rFonts w:hint="eastAsia" w:ascii="宋体" w:hAnsi="宋体"/>
                <w:color w:val="auto"/>
                <w:szCs w:val="21"/>
              </w:rPr>
              <w:t>目标及其实现的策划</w:t>
            </w:r>
          </w:p>
        </w:tc>
        <w:tc>
          <w:tcPr>
            <w:tcW w:w="1134" w:type="dxa"/>
            <w:vAlign w:val="top"/>
          </w:tcPr>
          <w:p>
            <w:pPr>
              <w:jc w:val="both"/>
              <w:rPr>
                <w:color w:val="auto"/>
                <w:szCs w:val="21"/>
              </w:rPr>
            </w:pPr>
            <w:r>
              <w:rPr>
                <w:rFonts w:hint="eastAsia"/>
                <w:color w:val="auto"/>
                <w:szCs w:val="21"/>
              </w:rPr>
              <w:t>QE</w:t>
            </w:r>
            <w:r>
              <w:rPr>
                <w:rFonts w:hint="eastAsia"/>
                <w:color w:val="auto"/>
                <w:szCs w:val="21"/>
                <w:lang w:val="en-US" w:eastAsia="zh-CN"/>
              </w:rPr>
              <w:t>O</w:t>
            </w:r>
            <w:r>
              <w:rPr>
                <w:rFonts w:hint="eastAsia"/>
                <w:color w:val="auto"/>
                <w:szCs w:val="21"/>
              </w:rPr>
              <w:t>6.2</w:t>
            </w:r>
          </w:p>
          <w:p>
            <w:pPr>
              <w:jc w:val="both"/>
              <w:rPr>
                <w:color w:val="auto"/>
                <w:szCs w:val="21"/>
              </w:rPr>
            </w:pPr>
            <w:r>
              <w:rPr>
                <w:rFonts w:hint="eastAsia"/>
                <w:color w:val="auto"/>
                <w:szCs w:val="21"/>
              </w:rPr>
              <w:t>J3.2</w:t>
            </w:r>
          </w:p>
        </w:tc>
        <w:tc>
          <w:tcPr>
            <w:tcW w:w="11057" w:type="dxa"/>
            <w:vAlign w:val="center"/>
          </w:tcPr>
          <w:p>
            <w:pPr>
              <w:spacing w:line="360" w:lineRule="auto"/>
              <w:jc w:val="left"/>
              <w:rPr>
                <w:rFonts w:ascii="宋体" w:hAnsi="宋体" w:cs="宋体"/>
                <w:color w:val="auto"/>
                <w:szCs w:val="21"/>
              </w:rPr>
            </w:pPr>
            <w:r>
              <w:rPr>
                <w:rFonts w:hint="eastAsia" w:ascii="宋体" w:hAnsi="宋体" w:cs="宋体"/>
                <w:color w:val="auto"/>
                <w:szCs w:val="21"/>
              </w:rPr>
              <w:t>质量、环境、职业健康安全目标</w:t>
            </w:r>
          </w:p>
          <w:p>
            <w:pPr>
              <w:ind w:firstLine="420" w:firstLineChars="200"/>
              <w:rPr>
                <w:color w:val="auto"/>
                <w:szCs w:val="21"/>
              </w:rPr>
            </w:pPr>
            <w:r>
              <w:rPr>
                <w:rFonts w:hint="eastAsia"/>
                <w:color w:val="auto"/>
                <w:szCs w:val="21"/>
              </w:rPr>
              <w:t>1、</w:t>
            </w:r>
            <w:r>
              <w:rPr>
                <w:rFonts w:hint="eastAsia" w:ascii="宋体" w:hAnsi="宋体" w:cs="宋体"/>
                <w:color w:val="auto"/>
                <w:sz w:val="21"/>
                <w:szCs w:val="21"/>
              </w:rPr>
              <w:t>工程竣工验收合格率达到100%</w:t>
            </w:r>
          </w:p>
          <w:p>
            <w:pPr>
              <w:ind w:firstLine="420" w:firstLineChars="200"/>
              <w:rPr>
                <w:color w:val="auto"/>
                <w:szCs w:val="21"/>
              </w:rPr>
            </w:pPr>
            <w:r>
              <w:rPr>
                <w:rFonts w:hint="eastAsia"/>
                <w:color w:val="auto"/>
                <w:szCs w:val="21"/>
              </w:rPr>
              <w:t>2、</w:t>
            </w:r>
            <w:r>
              <w:rPr>
                <w:rFonts w:hint="eastAsia" w:ascii="宋体" w:hAnsi="宋体" w:cs="宋体"/>
                <w:color w:val="auto"/>
                <w:sz w:val="21"/>
                <w:szCs w:val="21"/>
              </w:rPr>
              <w:t>合同履约率100％</w:t>
            </w:r>
          </w:p>
          <w:p>
            <w:pPr>
              <w:ind w:firstLine="420" w:firstLineChars="200"/>
              <w:rPr>
                <w:color w:val="auto"/>
                <w:szCs w:val="21"/>
              </w:rPr>
            </w:pPr>
            <w:r>
              <w:rPr>
                <w:rFonts w:hint="eastAsia"/>
                <w:color w:val="auto"/>
                <w:szCs w:val="21"/>
              </w:rPr>
              <w:t>3、</w:t>
            </w:r>
            <w:r>
              <w:rPr>
                <w:rFonts w:hint="eastAsia" w:ascii="宋体" w:hAnsi="宋体" w:cs="宋体"/>
                <w:color w:val="auto"/>
                <w:sz w:val="21"/>
                <w:szCs w:val="21"/>
              </w:rPr>
              <w:t>顾客满意率达到≥90%</w:t>
            </w:r>
            <w:r>
              <w:rPr>
                <w:rFonts w:hint="eastAsia"/>
                <w:color w:val="auto"/>
                <w:szCs w:val="21"/>
              </w:rPr>
              <w:t>；</w:t>
            </w:r>
          </w:p>
          <w:p>
            <w:pPr>
              <w:ind w:firstLine="420" w:firstLineChars="200"/>
              <w:rPr>
                <w:color w:val="auto"/>
                <w:szCs w:val="21"/>
              </w:rPr>
            </w:pPr>
            <w:r>
              <w:rPr>
                <w:rFonts w:hint="eastAsia"/>
                <w:color w:val="auto"/>
                <w:szCs w:val="21"/>
              </w:rPr>
              <w:t>4、</w:t>
            </w:r>
            <w:r>
              <w:rPr>
                <w:rFonts w:hint="eastAsia" w:ascii="宋体" w:hAnsi="宋体" w:cs="宋体"/>
                <w:color w:val="auto"/>
                <w:sz w:val="21"/>
                <w:szCs w:val="21"/>
              </w:rPr>
              <w:t>重大质量、安全事故为零</w:t>
            </w:r>
            <w:r>
              <w:rPr>
                <w:rFonts w:hint="eastAsia"/>
                <w:color w:val="auto"/>
                <w:szCs w:val="21"/>
              </w:rPr>
              <w:t>；</w:t>
            </w:r>
          </w:p>
          <w:p>
            <w:pPr>
              <w:ind w:firstLine="420" w:firstLineChars="200"/>
              <w:rPr>
                <w:color w:val="auto"/>
                <w:szCs w:val="21"/>
              </w:rPr>
            </w:pPr>
            <w:r>
              <w:rPr>
                <w:rFonts w:hint="eastAsia"/>
                <w:color w:val="auto"/>
                <w:szCs w:val="21"/>
              </w:rPr>
              <w:t>5、</w:t>
            </w:r>
            <w:r>
              <w:rPr>
                <w:rFonts w:hint="eastAsia" w:ascii="宋体" w:hAnsi="宋体" w:cs="宋体"/>
                <w:color w:val="auto"/>
                <w:sz w:val="21"/>
                <w:szCs w:val="21"/>
              </w:rPr>
              <w:t>控制施工噪声、粉尘、污水排放，施工噪声、粉尘、污水排放无投诉</w:t>
            </w:r>
            <w:r>
              <w:rPr>
                <w:rFonts w:hint="eastAsia"/>
                <w:color w:val="auto"/>
                <w:szCs w:val="21"/>
              </w:rPr>
              <w:t>；</w:t>
            </w:r>
          </w:p>
          <w:p>
            <w:pPr>
              <w:ind w:firstLine="420" w:firstLineChars="200"/>
              <w:rPr>
                <w:color w:val="auto"/>
                <w:szCs w:val="21"/>
              </w:rPr>
            </w:pPr>
            <w:r>
              <w:rPr>
                <w:rFonts w:hint="eastAsia"/>
                <w:color w:val="auto"/>
                <w:szCs w:val="21"/>
              </w:rPr>
              <w:t>6、</w:t>
            </w:r>
            <w:r>
              <w:rPr>
                <w:rFonts w:hint="eastAsia" w:ascii="宋体" w:hAnsi="宋体" w:cs="宋体"/>
                <w:color w:val="auto"/>
                <w:sz w:val="21"/>
                <w:szCs w:val="21"/>
              </w:rPr>
              <w:t>固体废弃物（含危废）有效处置率≥95%</w:t>
            </w:r>
            <w:r>
              <w:rPr>
                <w:rFonts w:hint="eastAsia"/>
                <w:color w:val="auto"/>
                <w:szCs w:val="21"/>
              </w:rPr>
              <w:t>；</w:t>
            </w:r>
          </w:p>
          <w:p>
            <w:pPr>
              <w:ind w:firstLine="420" w:firstLineChars="200"/>
              <w:rPr>
                <w:rFonts w:hint="eastAsia" w:ascii="宋体" w:hAnsi="宋体" w:cs="宋体"/>
                <w:color w:val="auto"/>
                <w:sz w:val="21"/>
                <w:szCs w:val="21"/>
              </w:rPr>
            </w:pPr>
            <w:r>
              <w:rPr>
                <w:rFonts w:hint="eastAsia"/>
                <w:color w:val="auto"/>
                <w:szCs w:val="21"/>
              </w:rPr>
              <w:t>7、</w:t>
            </w:r>
            <w:r>
              <w:rPr>
                <w:rFonts w:hint="eastAsia" w:ascii="宋体" w:hAnsi="宋体" w:cs="宋体"/>
                <w:color w:val="auto"/>
                <w:sz w:val="21"/>
                <w:szCs w:val="21"/>
              </w:rPr>
              <w:t>重大安全事故为0</w:t>
            </w:r>
          </w:p>
          <w:p>
            <w:pPr>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8、</w:t>
            </w:r>
            <w:r>
              <w:rPr>
                <w:rFonts w:hint="eastAsia" w:ascii="宋体" w:hAnsi="宋体" w:cs="宋体"/>
                <w:color w:val="auto"/>
                <w:sz w:val="21"/>
                <w:szCs w:val="21"/>
              </w:rPr>
              <w:t>火灾爆炸事故为0；</w:t>
            </w:r>
          </w:p>
          <w:p>
            <w:pPr>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9、</w:t>
            </w:r>
            <w:r>
              <w:rPr>
                <w:rFonts w:hint="eastAsia" w:ascii="宋体" w:hAnsi="宋体" w:cs="宋体"/>
                <w:color w:val="auto"/>
                <w:sz w:val="21"/>
                <w:szCs w:val="21"/>
              </w:rPr>
              <w:t>死亡、重伤事故为0；</w:t>
            </w:r>
          </w:p>
          <w:p>
            <w:pPr>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10、</w:t>
            </w:r>
            <w:r>
              <w:rPr>
                <w:rFonts w:hint="eastAsia" w:ascii="宋体" w:hAnsi="宋体" w:cs="宋体"/>
                <w:color w:val="auto"/>
                <w:sz w:val="21"/>
                <w:szCs w:val="21"/>
              </w:rPr>
              <w:t>轻伤事故 ≤ 3起</w:t>
            </w:r>
            <w:r>
              <w:rPr>
                <w:rFonts w:hint="eastAsia" w:ascii="宋体" w:hAnsi="宋体" w:cs="宋体"/>
                <w:color w:val="auto"/>
                <w:sz w:val="21"/>
                <w:szCs w:val="21"/>
                <w:lang w:val="en-US" w:eastAsia="zh-CN"/>
              </w:rPr>
              <w:t>每年</w:t>
            </w:r>
          </w:p>
          <w:p>
            <w:pPr>
              <w:rPr>
                <w:rFonts w:hint="eastAsia" w:ascii="宋体" w:hAnsi="宋体" w:cs="宋体"/>
                <w:color w:val="auto"/>
                <w:sz w:val="21"/>
                <w:szCs w:val="21"/>
              </w:rPr>
            </w:pPr>
            <w:r>
              <w:rPr>
                <w:rFonts w:hint="eastAsia" w:ascii="宋体" w:hAnsi="宋体" w:cs="宋体"/>
                <w:color w:val="auto"/>
                <w:sz w:val="21"/>
                <w:szCs w:val="21"/>
              </w:rPr>
              <w:t>查《目标考核表》20</w:t>
            </w:r>
            <w:r>
              <w:rPr>
                <w:rFonts w:hint="eastAsia" w:ascii="宋体" w:hAnsi="宋体" w:cs="宋体"/>
                <w:color w:val="auto"/>
                <w:sz w:val="21"/>
                <w:szCs w:val="21"/>
                <w:lang w:val="en-US" w:eastAsia="zh-CN"/>
              </w:rPr>
              <w:t>21</w:t>
            </w:r>
            <w:r>
              <w:rPr>
                <w:rFonts w:hint="eastAsia" w:ascii="宋体" w:hAnsi="宋体" w:cs="宋体"/>
                <w:color w:val="auto"/>
                <w:sz w:val="21"/>
                <w:szCs w:val="21"/>
              </w:rPr>
              <w:t>年1月-</w:t>
            </w:r>
            <w:r>
              <w:rPr>
                <w:rFonts w:hint="eastAsia" w:ascii="宋体" w:hAnsi="宋体" w:cs="宋体"/>
                <w:color w:val="auto"/>
                <w:sz w:val="21"/>
                <w:szCs w:val="21"/>
                <w:lang w:val="en-US" w:eastAsia="zh-CN"/>
              </w:rPr>
              <w:t>12</w:t>
            </w:r>
            <w:r>
              <w:rPr>
                <w:rFonts w:hint="eastAsia" w:ascii="宋体" w:hAnsi="宋体" w:cs="宋体"/>
                <w:color w:val="auto"/>
                <w:sz w:val="21"/>
                <w:szCs w:val="21"/>
              </w:rPr>
              <w:t>月对目标进行考核，考核情况为：</w:t>
            </w:r>
          </w:p>
          <w:p>
            <w:pPr>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质量、环境、安全目标、指标： </w:t>
            </w:r>
          </w:p>
          <w:p>
            <w:pPr>
              <w:ind w:firstLine="420" w:firstLineChars="200"/>
              <w:rPr>
                <w:rFonts w:hint="eastAsia" w:ascii="宋体" w:hAnsi="宋体" w:cs="宋体"/>
                <w:color w:val="auto"/>
                <w:sz w:val="21"/>
                <w:szCs w:val="21"/>
              </w:rPr>
            </w:pPr>
            <w:r>
              <w:rPr>
                <w:rFonts w:hint="eastAsia" w:ascii="宋体" w:hAnsi="宋体" w:cs="宋体"/>
                <w:color w:val="auto"/>
                <w:sz w:val="21"/>
                <w:szCs w:val="21"/>
              </w:rPr>
              <w:t>1、工程竣工验收合格率达到100%</w:t>
            </w:r>
          </w:p>
          <w:p>
            <w:pPr>
              <w:ind w:firstLine="420" w:firstLineChars="200"/>
              <w:rPr>
                <w:rFonts w:hint="eastAsia" w:ascii="宋体" w:hAnsi="宋体" w:cs="宋体"/>
                <w:color w:val="auto"/>
                <w:sz w:val="21"/>
                <w:szCs w:val="21"/>
              </w:rPr>
            </w:pPr>
            <w:r>
              <w:rPr>
                <w:rFonts w:hint="eastAsia" w:ascii="宋体" w:hAnsi="宋体" w:cs="宋体"/>
                <w:color w:val="auto"/>
                <w:sz w:val="21"/>
                <w:szCs w:val="21"/>
              </w:rPr>
              <w:t>2、合同履约率100％</w:t>
            </w:r>
          </w:p>
          <w:p>
            <w:pPr>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3、顾客满意率达到</w:t>
            </w:r>
            <w:r>
              <w:rPr>
                <w:rFonts w:hint="eastAsia" w:ascii="宋体" w:hAnsi="宋体" w:cs="宋体"/>
                <w:color w:val="auto"/>
                <w:sz w:val="21"/>
                <w:szCs w:val="21"/>
                <w:lang w:val="en-US" w:eastAsia="zh-CN"/>
              </w:rPr>
              <w:t>98分</w:t>
            </w:r>
          </w:p>
          <w:p>
            <w:pPr>
              <w:ind w:firstLine="420" w:firstLineChars="200"/>
              <w:rPr>
                <w:rFonts w:hint="eastAsia" w:ascii="宋体" w:hAnsi="宋体" w:cs="宋体"/>
                <w:color w:val="auto"/>
                <w:sz w:val="21"/>
                <w:szCs w:val="21"/>
              </w:rPr>
            </w:pPr>
            <w:r>
              <w:rPr>
                <w:rFonts w:hint="eastAsia" w:ascii="宋体" w:hAnsi="宋体" w:cs="宋体"/>
                <w:color w:val="auto"/>
                <w:sz w:val="21"/>
                <w:szCs w:val="21"/>
              </w:rPr>
              <w:t>4、重大质量事故为零</w:t>
            </w:r>
          </w:p>
          <w:p>
            <w:pPr>
              <w:ind w:firstLine="420" w:firstLineChars="200"/>
              <w:rPr>
                <w:rFonts w:hint="eastAsia" w:ascii="宋体" w:hAnsi="宋体" w:cs="宋体"/>
                <w:color w:val="auto"/>
                <w:sz w:val="21"/>
                <w:szCs w:val="21"/>
              </w:rPr>
            </w:pPr>
            <w:r>
              <w:rPr>
                <w:rFonts w:hint="eastAsia" w:ascii="宋体" w:hAnsi="宋体" w:cs="宋体"/>
                <w:color w:val="auto"/>
                <w:sz w:val="21"/>
                <w:szCs w:val="21"/>
              </w:rPr>
              <w:t>5、无施工噪声、粉尘、污水排放，施工噪声、粉尘、污水排放</w:t>
            </w:r>
            <w:r>
              <w:rPr>
                <w:rFonts w:hint="eastAsia" w:ascii="宋体" w:hAnsi="宋体" w:cs="宋体"/>
                <w:color w:val="auto"/>
                <w:sz w:val="21"/>
                <w:szCs w:val="21"/>
                <w:lang w:val="en-US" w:eastAsia="zh-CN"/>
              </w:rPr>
              <w:t>环境扰民投诉</w:t>
            </w:r>
            <w:r>
              <w:rPr>
                <w:rFonts w:hint="eastAsia" w:ascii="宋体" w:hAnsi="宋体" w:cs="宋体"/>
                <w:color w:val="auto"/>
                <w:sz w:val="21"/>
                <w:szCs w:val="21"/>
              </w:rPr>
              <w:t>；</w:t>
            </w:r>
          </w:p>
          <w:p>
            <w:pPr>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6</w:t>
            </w:r>
            <w:r>
              <w:rPr>
                <w:rFonts w:hint="eastAsia" w:ascii="宋体" w:hAnsi="宋体" w:cs="宋体"/>
                <w:color w:val="auto"/>
                <w:sz w:val="21"/>
                <w:szCs w:val="21"/>
                <w:lang w:eastAsia="zh-CN"/>
              </w:rPr>
              <w:t>、</w:t>
            </w:r>
            <w:r>
              <w:rPr>
                <w:rFonts w:hint="eastAsia" w:ascii="宋体" w:hAnsi="宋体" w:cs="宋体"/>
                <w:color w:val="auto"/>
                <w:sz w:val="21"/>
                <w:szCs w:val="21"/>
              </w:rPr>
              <w:t>固体废弃物（含危废）有效处置率</w:t>
            </w:r>
            <w:r>
              <w:rPr>
                <w:rFonts w:hint="eastAsia" w:ascii="宋体" w:hAnsi="宋体" w:cs="宋体"/>
                <w:color w:val="auto"/>
                <w:sz w:val="21"/>
                <w:szCs w:val="21"/>
                <w:lang w:val="en-US" w:eastAsia="zh-CN"/>
              </w:rPr>
              <w:t>达到100%</w:t>
            </w:r>
          </w:p>
          <w:p>
            <w:pPr>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7、未发生</w:t>
            </w:r>
            <w:r>
              <w:rPr>
                <w:rFonts w:hint="eastAsia" w:ascii="宋体" w:hAnsi="宋体" w:cs="宋体"/>
                <w:color w:val="auto"/>
                <w:sz w:val="21"/>
                <w:szCs w:val="21"/>
              </w:rPr>
              <w:t>重大</w:t>
            </w:r>
            <w:r>
              <w:rPr>
                <w:rFonts w:hint="eastAsia" w:ascii="宋体" w:hAnsi="宋体" w:cs="宋体"/>
                <w:color w:val="auto"/>
                <w:sz w:val="21"/>
                <w:szCs w:val="21"/>
                <w:lang w:val="en-US" w:eastAsia="zh-CN"/>
              </w:rPr>
              <w:t>安全</w:t>
            </w:r>
            <w:r>
              <w:rPr>
                <w:rFonts w:hint="eastAsia" w:ascii="宋体" w:hAnsi="宋体" w:cs="宋体"/>
                <w:color w:val="auto"/>
                <w:sz w:val="21"/>
                <w:szCs w:val="21"/>
              </w:rPr>
              <w:t>事故</w:t>
            </w:r>
          </w:p>
          <w:p>
            <w:pPr>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8、未发生</w:t>
            </w:r>
            <w:r>
              <w:rPr>
                <w:rFonts w:hint="eastAsia" w:ascii="宋体" w:hAnsi="宋体" w:cs="宋体"/>
                <w:color w:val="auto"/>
                <w:sz w:val="21"/>
                <w:szCs w:val="21"/>
              </w:rPr>
              <w:t>火灾爆炸事故</w:t>
            </w:r>
          </w:p>
          <w:p>
            <w:pPr>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9、未发生</w:t>
            </w:r>
            <w:r>
              <w:rPr>
                <w:rFonts w:hint="eastAsia" w:ascii="宋体" w:hAnsi="宋体" w:cs="宋体"/>
                <w:color w:val="auto"/>
                <w:sz w:val="21"/>
                <w:szCs w:val="21"/>
              </w:rPr>
              <w:t>死亡、重伤事故</w:t>
            </w:r>
          </w:p>
          <w:p>
            <w:pPr>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10、未发生</w:t>
            </w:r>
            <w:r>
              <w:rPr>
                <w:rFonts w:hint="eastAsia" w:ascii="宋体" w:hAnsi="宋体" w:cs="宋体"/>
                <w:color w:val="auto"/>
                <w:sz w:val="21"/>
                <w:szCs w:val="21"/>
              </w:rPr>
              <w:t>轻伤事故</w:t>
            </w:r>
            <w:r>
              <w:rPr>
                <w:rFonts w:hint="eastAsia" w:ascii="宋体" w:hAnsi="宋体" w:cs="宋体"/>
                <w:color w:val="auto"/>
                <w:sz w:val="21"/>
                <w:szCs w:val="21"/>
                <w:lang w:val="en-US" w:eastAsia="zh-CN"/>
              </w:rPr>
              <w:t xml:space="preserve"> </w:t>
            </w:r>
          </w:p>
          <w:p>
            <w:pPr>
              <w:rPr>
                <w:b/>
                <w:color w:val="auto"/>
              </w:rPr>
            </w:pPr>
            <w:r>
              <w:rPr>
                <w:rFonts w:hint="eastAsia" w:ascii="宋体" w:hAnsi="宋体" w:cs="宋体"/>
                <w:color w:val="auto"/>
                <w:sz w:val="21"/>
                <w:szCs w:val="21"/>
              </w:rPr>
              <w:t>均达到目标，并将指标进行了分解。</w:t>
            </w:r>
          </w:p>
        </w:tc>
        <w:tc>
          <w:tcPr>
            <w:tcW w:w="709" w:type="dxa"/>
            <w:vAlign w:val="top"/>
          </w:tcPr>
          <w:p>
            <w:pPr>
              <w:jc w:val="both"/>
              <w:rPr>
                <w:rFonts w:hint="eastAsia" w:eastAsia="宋体"/>
                <w:b/>
                <w:color w:val="auto"/>
                <w:lang w:val="en-US" w:eastAsia="zh-CN"/>
              </w:rPr>
            </w:pPr>
            <w:r>
              <w:rPr>
                <w:rFonts w:hint="eastAsia"/>
                <w:b/>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809" w:type="dxa"/>
            <w:vAlign w:val="top"/>
          </w:tcPr>
          <w:p>
            <w:pPr>
              <w:jc w:val="both"/>
              <w:rPr>
                <w:rFonts w:asciiTheme="minorEastAsia" w:hAnsiTheme="minorEastAsia" w:eastAsiaTheme="minorEastAsia"/>
                <w:color w:val="auto"/>
                <w:szCs w:val="24"/>
              </w:rPr>
            </w:pPr>
            <w:r>
              <w:rPr>
                <w:rFonts w:hint="eastAsia" w:asciiTheme="minorEastAsia" w:hAnsiTheme="minorEastAsia" w:eastAsiaTheme="minorEastAsia"/>
                <w:color w:val="auto"/>
                <w:szCs w:val="24"/>
              </w:rPr>
              <w:t>变更的策划</w:t>
            </w:r>
          </w:p>
        </w:tc>
        <w:tc>
          <w:tcPr>
            <w:tcW w:w="1134" w:type="dxa"/>
            <w:vAlign w:val="top"/>
          </w:tcPr>
          <w:p>
            <w:pPr>
              <w:jc w:val="both"/>
              <w:rPr>
                <w:rFonts w:asciiTheme="minorEastAsia" w:hAnsiTheme="minorEastAsia" w:eastAsiaTheme="minorEastAsia"/>
                <w:color w:val="auto"/>
                <w:szCs w:val="24"/>
              </w:rPr>
            </w:pPr>
            <w:r>
              <w:rPr>
                <w:rFonts w:hint="eastAsia" w:ascii="宋体" w:hAnsi="宋体"/>
                <w:b/>
                <w:bCs/>
                <w:color w:val="auto"/>
                <w:szCs w:val="21"/>
              </w:rPr>
              <w:t>Q:6.3（3.4）</w:t>
            </w:r>
          </w:p>
        </w:tc>
        <w:tc>
          <w:tcPr>
            <w:tcW w:w="11057" w:type="dxa"/>
            <w:vAlign w:val="center"/>
          </w:tcPr>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总经理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未发生管理体系的变更。</w:t>
            </w:r>
          </w:p>
        </w:tc>
        <w:tc>
          <w:tcPr>
            <w:tcW w:w="709" w:type="dxa"/>
            <w:vAlign w:val="top"/>
          </w:tcPr>
          <w:p>
            <w:pPr>
              <w:jc w:val="both"/>
              <w:rPr>
                <w:rFonts w:hint="eastAsia" w:eastAsia="宋体"/>
                <w:b/>
                <w:color w:val="auto"/>
                <w:lang w:val="en-US" w:eastAsia="zh-CN"/>
              </w:rPr>
            </w:pPr>
            <w:r>
              <w:rPr>
                <w:rFonts w:hint="eastAsia"/>
                <w:b/>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top"/>
          </w:tcPr>
          <w:p>
            <w:pPr>
              <w:jc w:val="both"/>
              <w:rPr>
                <w:b/>
                <w:color w:val="auto"/>
              </w:rPr>
            </w:pPr>
            <w:r>
              <w:rPr>
                <w:rFonts w:hint="eastAsia"/>
                <w:color w:val="auto"/>
                <w:szCs w:val="21"/>
              </w:rPr>
              <w:t>资源提供</w:t>
            </w:r>
          </w:p>
        </w:tc>
        <w:tc>
          <w:tcPr>
            <w:tcW w:w="1134" w:type="dxa"/>
            <w:vAlign w:val="top"/>
          </w:tcPr>
          <w:p>
            <w:pPr>
              <w:jc w:val="both"/>
              <w:rPr>
                <w:color w:val="auto"/>
                <w:szCs w:val="21"/>
              </w:rPr>
            </w:pPr>
            <w:r>
              <w:rPr>
                <w:rFonts w:hint="eastAsia"/>
                <w:color w:val="auto"/>
                <w:szCs w:val="21"/>
              </w:rPr>
              <w:t>Q7.1.1</w:t>
            </w:r>
          </w:p>
          <w:p>
            <w:pPr>
              <w:jc w:val="both"/>
              <w:rPr>
                <w:color w:val="auto"/>
                <w:szCs w:val="21"/>
              </w:rPr>
            </w:pPr>
            <w:r>
              <w:rPr>
                <w:rFonts w:hint="eastAsia"/>
                <w:color w:val="auto"/>
                <w:szCs w:val="21"/>
              </w:rPr>
              <w:t>E</w:t>
            </w:r>
            <w:r>
              <w:rPr>
                <w:rFonts w:hint="eastAsia"/>
                <w:color w:val="auto"/>
                <w:szCs w:val="21"/>
                <w:lang w:val="en-US" w:eastAsia="zh-CN"/>
              </w:rPr>
              <w:t>O</w:t>
            </w:r>
            <w:r>
              <w:rPr>
                <w:rFonts w:hint="eastAsia"/>
                <w:color w:val="auto"/>
                <w:szCs w:val="21"/>
              </w:rPr>
              <w:t>7.1</w:t>
            </w:r>
          </w:p>
          <w:p>
            <w:pPr>
              <w:jc w:val="both"/>
              <w:rPr>
                <w:color w:val="auto"/>
                <w:szCs w:val="21"/>
              </w:rPr>
            </w:pPr>
            <w:r>
              <w:rPr>
                <w:rFonts w:hint="eastAsia"/>
                <w:color w:val="auto"/>
                <w:szCs w:val="21"/>
              </w:rPr>
              <w:t>J3.4.1</w:t>
            </w:r>
          </w:p>
        </w:tc>
        <w:tc>
          <w:tcPr>
            <w:tcW w:w="11057" w:type="dxa"/>
            <w:vAlign w:val="center"/>
          </w:tcPr>
          <w:p>
            <w:pPr>
              <w:ind w:firstLine="420" w:firstLineChars="200"/>
              <w:rPr>
                <w:color w:val="auto"/>
                <w:szCs w:val="21"/>
              </w:rPr>
            </w:pPr>
            <w:r>
              <w:rPr>
                <w:rFonts w:hint="eastAsia"/>
                <w:color w:val="auto"/>
                <w:szCs w:val="21"/>
              </w:rPr>
              <w:t>公司为了实施管理体系并持续改进其有效性，增强顾客满意度，提供了各方面的资源保证。</w:t>
            </w:r>
          </w:p>
          <w:p>
            <w:pPr>
              <w:rPr>
                <w:color w:val="auto"/>
                <w:szCs w:val="21"/>
              </w:rPr>
            </w:pPr>
            <w:r>
              <w:rPr>
                <w:rFonts w:hint="eastAsia"/>
                <w:color w:val="auto"/>
                <w:szCs w:val="21"/>
              </w:rPr>
              <w:t>a. 人力资源：职工队伍相对稳定，均在企业工作</w:t>
            </w:r>
            <w:r>
              <w:rPr>
                <w:rFonts w:hint="eastAsia"/>
                <w:color w:val="auto"/>
                <w:szCs w:val="21"/>
                <w:lang w:val="en-US" w:eastAsia="zh-CN"/>
              </w:rPr>
              <w:t>5</w:t>
            </w:r>
            <w:r>
              <w:rPr>
                <w:rFonts w:hint="eastAsia"/>
                <w:color w:val="auto"/>
                <w:szCs w:val="21"/>
              </w:rPr>
              <w:t>年以上，实践经验丰富；项目经理、技术负责人、安全员、特殊工种等持证上岗。符合要求。</w:t>
            </w:r>
          </w:p>
          <w:p>
            <w:pPr>
              <w:rPr>
                <w:color w:val="auto"/>
                <w:szCs w:val="21"/>
              </w:rPr>
            </w:pPr>
            <w:r>
              <w:rPr>
                <w:rFonts w:hint="eastAsia"/>
                <w:color w:val="auto"/>
                <w:szCs w:val="21"/>
              </w:rPr>
              <w:t>b. 基础设施：</w:t>
            </w:r>
            <w:r>
              <w:rPr>
                <w:rFonts w:hint="eastAsia"/>
                <w:color w:val="auto"/>
                <w:szCs w:val="21"/>
                <w:lang w:val="en-US" w:eastAsia="zh-CN"/>
              </w:rPr>
              <w:t>工程部、质安部、</w:t>
            </w:r>
            <w:r>
              <w:rPr>
                <w:rFonts w:hint="eastAsia"/>
                <w:color w:val="auto"/>
                <w:szCs w:val="21"/>
              </w:rPr>
              <w:t>行政部、</w:t>
            </w:r>
            <w:r>
              <w:rPr>
                <w:rFonts w:hint="eastAsia"/>
                <w:color w:val="auto"/>
                <w:szCs w:val="21"/>
                <w:lang w:val="en-US" w:eastAsia="zh-CN"/>
              </w:rPr>
              <w:t>财务部、市场部、</w:t>
            </w:r>
            <w:r>
              <w:rPr>
                <w:rFonts w:hint="eastAsia"/>
                <w:color w:val="auto"/>
                <w:szCs w:val="21"/>
              </w:rPr>
              <w:t>库房，施工机具、办公设备；</w:t>
            </w:r>
          </w:p>
          <w:p>
            <w:pPr>
              <w:rPr>
                <w:color w:val="auto"/>
                <w:szCs w:val="21"/>
              </w:rPr>
            </w:pPr>
            <w:r>
              <w:rPr>
                <w:rFonts w:hint="eastAsia"/>
                <w:color w:val="auto"/>
                <w:szCs w:val="21"/>
              </w:rPr>
              <w:t>c. 工作环境：办公区域位于</w:t>
            </w:r>
            <w:r>
              <w:rPr>
                <w:rFonts w:hint="eastAsia"/>
                <w:szCs w:val="21"/>
              </w:rPr>
              <w:t xml:space="preserve">重庆市南岸区凤临路9号金辉大厦A座11-3 </w:t>
            </w:r>
            <w:r>
              <w:rPr>
                <w:rFonts w:hint="eastAsia" w:ascii="宋体" w:hAnsi="宋体"/>
                <w:color w:val="auto"/>
                <w:szCs w:val="21"/>
              </w:rPr>
              <w:t>，</w:t>
            </w:r>
            <w:r>
              <w:rPr>
                <w:rFonts w:hint="eastAsia"/>
                <w:color w:val="auto"/>
                <w:szCs w:val="21"/>
              </w:rPr>
              <w:t>面积</w:t>
            </w:r>
            <w:r>
              <w:rPr>
                <w:rFonts w:hint="eastAsia"/>
                <w:color w:val="auto"/>
                <w:szCs w:val="21"/>
                <w:lang w:val="en-US" w:eastAsia="zh-CN"/>
              </w:rPr>
              <w:t>210</w:t>
            </w:r>
            <w:r>
              <w:rPr>
                <w:rFonts w:hint="eastAsia"/>
                <w:color w:val="auto"/>
                <w:szCs w:val="21"/>
              </w:rPr>
              <w:t>平米左右，布局合理，场所卫生干净整洁，工作环境良好。</w:t>
            </w:r>
          </w:p>
          <w:p>
            <w:pPr>
              <w:rPr>
                <w:color w:val="auto"/>
                <w:szCs w:val="21"/>
              </w:rPr>
            </w:pPr>
            <w:r>
              <w:rPr>
                <w:rFonts w:hint="eastAsia"/>
                <w:color w:val="auto"/>
                <w:szCs w:val="21"/>
              </w:rPr>
              <w:t>d. 资金支持：注册资金</w:t>
            </w:r>
            <w:r>
              <w:rPr>
                <w:rFonts w:hint="eastAsia"/>
                <w:color w:val="auto"/>
                <w:szCs w:val="21"/>
                <w:lang w:val="en-US" w:eastAsia="zh-CN"/>
              </w:rPr>
              <w:t>5188</w:t>
            </w:r>
            <w:r>
              <w:rPr>
                <w:rFonts w:hint="eastAsia"/>
                <w:color w:val="auto"/>
                <w:szCs w:val="21"/>
              </w:rPr>
              <w:t>万元。能够满足体系的运行及服务需要。</w:t>
            </w:r>
          </w:p>
        </w:tc>
        <w:tc>
          <w:tcPr>
            <w:tcW w:w="709"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09" w:type="dxa"/>
            <w:vAlign w:val="top"/>
          </w:tcPr>
          <w:p>
            <w:pPr>
              <w:jc w:val="both"/>
              <w:rPr>
                <w:b/>
                <w:color w:val="auto"/>
              </w:rPr>
            </w:pPr>
            <w:r>
              <w:rPr>
                <w:rFonts w:hint="eastAsia"/>
                <w:color w:val="auto"/>
                <w:szCs w:val="21"/>
              </w:rPr>
              <w:t>监视和测量总则</w:t>
            </w:r>
          </w:p>
        </w:tc>
        <w:tc>
          <w:tcPr>
            <w:tcW w:w="1134" w:type="dxa"/>
            <w:vAlign w:val="top"/>
          </w:tcPr>
          <w:p>
            <w:pPr>
              <w:jc w:val="both"/>
              <w:rPr>
                <w:color w:val="auto"/>
                <w:szCs w:val="21"/>
              </w:rPr>
            </w:pPr>
            <w:r>
              <w:rPr>
                <w:rFonts w:hint="eastAsia"/>
                <w:color w:val="auto"/>
                <w:szCs w:val="21"/>
              </w:rPr>
              <w:t>QE</w:t>
            </w:r>
            <w:r>
              <w:rPr>
                <w:rFonts w:hint="eastAsia"/>
                <w:color w:val="auto"/>
                <w:szCs w:val="21"/>
                <w:lang w:val="en-US" w:eastAsia="zh-CN"/>
              </w:rPr>
              <w:t>O</w:t>
            </w:r>
            <w:r>
              <w:rPr>
                <w:rFonts w:hint="eastAsia"/>
                <w:color w:val="auto"/>
                <w:szCs w:val="21"/>
              </w:rPr>
              <w:t>9.1.1</w:t>
            </w:r>
          </w:p>
          <w:p>
            <w:pPr>
              <w:jc w:val="both"/>
              <w:rPr>
                <w:color w:val="auto"/>
              </w:rPr>
            </w:pPr>
            <w:r>
              <w:rPr>
                <w:rFonts w:hint="eastAsia"/>
                <w:color w:val="auto"/>
                <w:szCs w:val="21"/>
              </w:rPr>
              <w:t>J</w:t>
            </w:r>
            <w:r>
              <w:rPr>
                <w:rFonts w:hint="eastAsia"/>
                <w:color w:val="auto"/>
              </w:rPr>
              <w:t>3.4.2</w:t>
            </w:r>
          </w:p>
          <w:p>
            <w:pPr>
              <w:jc w:val="both"/>
              <w:rPr>
                <w:color w:val="auto"/>
              </w:rPr>
            </w:pPr>
            <w:r>
              <w:rPr>
                <w:rFonts w:hint="eastAsia"/>
                <w:color w:val="auto"/>
              </w:rPr>
              <w:t>11.1.1</w:t>
            </w:r>
          </w:p>
          <w:p>
            <w:pPr>
              <w:jc w:val="both"/>
              <w:rPr>
                <w:color w:val="auto"/>
              </w:rPr>
            </w:pPr>
            <w:r>
              <w:rPr>
                <w:rFonts w:hint="eastAsia"/>
                <w:color w:val="auto"/>
              </w:rPr>
              <w:t>11.2</w:t>
            </w:r>
          </w:p>
          <w:p>
            <w:pPr>
              <w:jc w:val="both"/>
              <w:rPr>
                <w:color w:val="auto"/>
              </w:rPr>
            </w:pPr>
            <w:r>
              <w:rPr>
                <w:rFonts w:hint="eastAsia"/>
                <w:color w:val="auto"/>
              </w:rPr>
              <w:t>12.1</w:t>
            </w:r>
          </w:p>
          <w:p>
            <w:pPr>
              <w:jc w:val="both"/>
              <w:rPr>
                <w:color w:val="auto"/>
                <w:szCs w:val="21"/>
              </w:rPr>
            </w:pPr>
            <w:r>
              <w:rPr>
                <w:rFonts w:hint="eastAsia"/>
                <w:color w:val="auto"/>
              </w:rPr>
              <w:t>12.2.1-2</w:t>
            </w:r>
          </w:p>
        </w:tc>
        <w:tc>
          <w:tcPr>
            <w:tcW w:w="11057" w:type="dxa"/>
            <w:vAlign w:val="center"/>
          </w:tcPr>
          <w:p>
            <w:pPr>
              <w:rPr>
                <w:color w:val="auto"/>
                <w:szCs w:val="21"/>
              </w:rPr>
            </w:pPr>
            <w:r>
              <w:rPr>
                <w:rFonts w:hint="eastAsia"/>
                <w:color w:val="auto"/>
                <w:szCs w:val="21"/>
              </w:rPr>
              <w:t>组织策划了对绩效的监视和测量，对绩效的分析和评价，对事项进行汇报的程序等。保留了必要的记录文件。</w:t>
            </w:r>
          </w:p>
          <w:p>
            <w:pPr>
              <w:rPr>
                <w:color w:val="auto"/>
                <w:szCs w:val="21"/>
              </w:rPr>
            </w:pPr>
            <w:r>
              <w:rPr>
                <w:rFonts w:hint="eastAsia"/>
                <w:color w:val="auto"/>
                <w:szCs w:val="21"/>
              </w:rPr>
              <w:t>公司通过管理评审和内部审核，并通过统计技术的运用，对监视和测量的信息进行分析和处理。定期的目标考核，对发现的问题采取纠正和必要的纠正措施，确保管理体系绩效和有效性。</w:t>
            </w:r>
          </w:p>
          <w:p>
            <w:pPr>
              <w:rPr>
                <w:color w:val="auto"/>
                <w:szCs w:val="21"/>
              </w:rPr>
            </w:pPr>
            <w:r>
              <w:rPr>
                <w:rFonts w:hint="eastAsia"/>
                <w:color w:val="auto"/>
                <w:szCs w:val="21"/>
              </w:rPr>
              <w:t>提供了：</w:t>
            </w:r>
          </w:p>
          <w:p>
            <w:pPr>
              <w:rPr>
                <w:rFonts w:hint="eastAsia" w:ascii="Times New Roman" w:hAnsi="Times New Roman" w:cs="Times New Roman"/>
                <w:color w:val="auto"/>
                <w:szCs w:val="21"/>
              </w:rPr>
            </w:pPr>
            <w:r>
              <w:rPr>
                <w:rFonts w:hint="eastAsia" w:ascii="Times New Roman" w:hAnsi="Times New Roman" w:cs="Times New Roman"/>
                <w:color w:val="auto"/>
                <w:szCs w:val="21"/>
              </w:rPr>
              <w:t>1、20</w:t>
            </w:r>
            <w:r>
              <w:rPr>
                <w:rFonts w:hint="eastAsia" w:ascii="Times New Roman" w:hAnsi="Times New Roman" w:cs="Times New Roman"/>
                <w:color w:val="auto"/>
                <w:szCs w:val="21"/>
                <w:lang w:val="en-US" w:eastAsia="zh-CN"/>
              </w:rPr>
              <w:t>21</w:t>
            </w:r>
            <w:r>
              <w:rPr>
                <w:rFonts w:hint="eastAsia" w:ascii="Times New Roman" w:hAnsi="Times New Roman" w:cs="Times New Roman"/>
                <w:color w:val="auto"/>
                <w:szCs w:val="21"/>
              </w:rPr>
              <w:t>年</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12</w:t>
            </w:r>
            <w:r>
              <w:rPr>
                <w:rFonts w:hint="eastAsia" w:ascii="Times New Roman" w:hAnsi="Times New Roman" w:cs="Times New Roman"/>
                <w:color w:val="auto"/>
                <w:szCs w:val="21"/>
              </w:rPr>
              <w:t>月份管理体系运行检查记录</w:t>
            </w:r>
            <w:r>
              <w:rPr>
                <w:rFonts w:hint="eastAsia" w:ascii="Times New Roman" w:hAnsi="Times New Roman" w:cs="Times New Roman"/>
                <w:color w:val="auto"/>
                <w:szCs w:val="21"/>
                <w:lang w:eastAsia="zh-CN"/>
              </w:rPr>
              <w:t>ZKZX</w:t>
            </w:r>
            <w:r>
              <w:rPr>
                <w:rFonts w:hint="eastAsia" w:ascii="Times New Roman" w:hAnsi="Times New Roman" w:cs="Times New Roman"/>
                <w:color w:val="auto"/>
                <w:szCs w:val="21"/>
              </w:rPr>
              <w:t xml:space="preserve">-QR-73 </w:t>
            </w:r>
          </w:p>
          <w:p>
            <w:pPr>
              <w:rPr>
                <w:rFonts w:hint="eastAsia" w:ascii="Times New Roman" w:hAnsi="Times New Roman" w:cs="Times New Roman"/>
                <w:color w:val="auto"/>
                <w:szCs w:val="21"/>
              </w:rPr>
            </w:pPr>
            <w:r>
              <w:rPr>
                <w:rFonts w:hint="eastAsia" w:ascii="Times New Roman" w:hAnsi="Times New Roman" w:cs="Times New Roman"/>
                <w:color w:val="auto"/>
                <w:szCs w:val="21"/>
              </w:rPr>
              <w:t>2、提供在建项目部</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工程部、质</w:t>
            </w:r>
            <w:r>
              <w:rPr>
                <w:rFonts w:hint="eastAsia" w:ascii="Times New Roman" w:hAnsi="Times New Roman" w:cs="Times New Roman"/>
                <w:color w:val="auto"/>
                <w:szCs w:val="21"/>
                <w:lang w:val="en-US" w:eastAsia="zh-CN"/>
              </w:rPr>
              <w:t>检</w:t>
            </w:r>
            <w:r>
              <w:rPr>
                <w:rFonts w:hint="eastAsia" w:ascii="Times New Roman" w:hAnsi="Times New Roman" w:cs="Times New Roman"/>
                <w:color w:val="auto"/>
                <w:szCs w:val="21"/>
              </w:rPr>
              <w:t>部、市场部、行政部</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财务部</w:t>
            </w:r>
            <w:r>
              <w:rPr>
                <w:rFonts w:hint="eastAsia" w:ascii="Times New Roman" w:hAnsi="Times New Roman" w:cs="Times New Roman"/>
                <w:color w:val="auto"/>
                <w:szCs w:val="21"/>
              </w:rPr>
              <w:t>体系工作总结。</w:t>
            </w:r>
          </w:p>
          <w:p>
            <w:pPr>
              <w:rPr>
                <w:color w:val="auto"/>
                <w:szCs w:val="21"/>
              </w:rPr>
            </w:pPr>
            <w:r>
              <w:rPr>
                <w:rFonts w:hint="eastAsia" w:ascii="Times New Roman" w:hAnsi="Times New Roman" w:cs="Times New Roman"/>
                <w:color w:val="auto"/>
                <w:szCs w:val="21"/>
              </w:rPr>
              <w:t>3、质量、环境及职业健康安全目标展开表、质量、环境、职业健康安全目标统计表</w:t>
            </w:r>
            <w:r>
              <w:rPr>
                <w:rFonts w:hint="eastAsia" w:ascii="Times New Roman" w:hAnsi="Times New Roman" w:cs="Times New Roman"/>
                <w:color w:val="auto"/>
                <w:szCs w:val="21"/>
                <w:lang w:val="en-US" w:eastAsia="zh-CN"/>
              </w:rPr>
              <w:t>ZKZX</w:t>
            </w:r>
            <w:r>
              <w:rPr>
                <w:rFonts w:hint="eastAsia" w:ascii="Times New Roman" w:hAnsi="Times New Roman" w:cs="Times New Roman"/>
                <w:color w:val="auto"/>
                <w:szCs w:val="21"/>
              </w:rPr>
              <w:t>/EOR-4.3.2-02、环境管理目标、指标及管理方案</w:t>
            </w:r>
            <w:r>
              <w:rPr>
                <w:rFonts w:hint="eastAsia" w:ascii="Times New Roman" w:hAnsi="Times New Roman" w:cs="Times New Roman"/>
                <w:color w:val="auto"/>
                <w:szCs w:val="21"/>
                <w:lang w:val="en-US" w:eastAsia="zh-CN"/>
              </w:rPr>
              <w:t>ZKZX</w:t>
            </w:r>
            <w:r>
              <w:rPr>
                <w:rFonts w:hint="eastAsia" w:ascii="Times New Roman" w:hAnsi="Times New Roman" w:cs="Times New Roman"/>
                <w:color w:val="auto"/>
                <w:szCs w:val="21"/>
              </w:rPr>
              <w:t>-ES-11、职业健康安全管理目标、指标及管理方案</w:t>
            </w:r>
            <w:r>
              <w:rPr>
                <w:rFonts w:hint="eastAsia" w:ascii="Times New Roman" w:hAnsi="Times New Roman" w:cs="Times New Roman"/>
                <w:color w:val="auto"/>
                <w:szCs w:val="21"/>
                <w:lang w:val="en-US" w:eastAsia="zh-CN"/>
              </w:rPr>
              <w:t>ZKZX</w:t>
            </w:r>
            <w:r>
              <w:rPr>
                <w:rFonts w:hint="eastAsia" w:ascii="Times New Roman" w:hAnsi="Times New Roman" w:cs="Times New Roman"/>
                <w:color w:val="auto"/>
                <w:szCs w:val="21"/>
              </w:rPr>
              <w:t>-ESR-11</w:t>
            </w:r>
            <w:r>
              <w:rPr>
                <w:rFonts w:hint="eastAsia"/>
                <w:color w:val="auto"/>
                <w:szCs w:val="21"/>
              </w:rPr>
              <w:t>。</w:t>
            </w:r>
          </w:p>
        </w:tc>
        <w:tc>
          <w:tcPr>
            <w:tcW w:w="709" w:type="dxa"/>
            <w:vAlign w:val="top"/>
          </w:tcPr>
          <w:p>
            <w:pPr>
              <w:jc w:val="both"/>
              <w:rPr>
                <w:rFonts w:hint="eastAsia" w:eastAsia="宋体"/>
                <w:b/>
                <w:color w:val="auto"/>
                <w:lang w:val="en-US" w:eastAsia="zh-CN"/>
              </w:rPr>
            </w:pPr>
            <w:r>
              <w:rPr>
                <w:rFonts w:hint="eastAsia"/>
                <w:b/>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809" w:type="dxa"/>
            <w:vAlign w:val="top"/>
          </w:tcPr>
          <w:p>
            <w:pPr>
              <w:jc w:val="both"/>
              <w:rPr>
                <w:b/>
                <w:color w:val="auto"/>
              </w:rPr>
            </w:pPr>
            <w:r>
              <w:rPr>
                <w:rFonts w:hint="eastAsia"/>
                <w:color w:val="auto"/>
                <w:szCs w:val="21"/>
              </w:rPr>
              <w:t>管理评审</w:t>
            </w:r>
          </w:p>
        </w:tc>
        <w:tc>
          <w:tcPr>
            <w:tcW w:w="1134" w:type="dxa"/>
            <w:vAlign w:val="top"/>
          </w:tcPr>
          <w:p>
            <w:pPr>
              <w:jc w:val="both"/>
              <w:rPr>
                <w:color w:val="auto"/>
                <w:szCs w:val="21"/>
              </w:rPr>
            </w:pPr>
            <w:r>
              <w:rPr>
                <w:rFonts w:hint="eastAsia"/>
                <w:color w:val="auto"/>
                <w:szCs w:val="21"/>
              </w:rPr>
              <w:t>QE</w:t>
            </w:r>
            <w:r>
              <w:rPr>
                <w:rFonts w:hint="eastAsia"/>
                <w:color w:val="auto"/>
                <w:szCs w:val="21"/>
                <w:lang w:val="en-US" w:eastAsia="zh-CN"/>
              </w:rPr>
              <w:t>O</w:t>
            </w:r>
            <w:r>
              <w:rPr>
                <w:rFonts w:hint="eastAsia"/>
                <w:color w:val="auto"/>
                <w:szCs w:val="21"/>
              </w:rPr>
              <w:t>9.3</w:t>
            </w:r>
          </w:p>
          <w:p>
            <w:pPr>
              <w:jc w:val="both"/>
              <w:rPr>
                <w:color w:val="auto"/>
                <w:szCs w:val="21"/>
              </w:rPr>
            </w:pPr>
            <w:r>
              <w:rPr>
                <w:rFonts w:hint="eastAsia"/>
                <w:color w:val="auto"/>
                <w:szCs w:val="21"/>
              </w:rPr>
              <w:t>J12.4</w:t>
            </w:r>
          </w:p>
        </w:tc>
        <w:tc>
          <w:tcPr>
            <w:tcW w:w="11057" w:type="dxa"/>
            <w:vAlign w:val="center"/>
          </w:tcPr>
          <w:p>
            <w:pPr>
              <w:numPr>
                <w:ilvl w:val="0"/>
                <w:numId w:val="0"/>
              </w:numPr>
              <w:spacing w:line="300" w:lineRule="auto"/>
              <w:ind w:left="480" w:leftChars="0"/>
              <w:rPr>
                <w:rFonts w:hint="eastAsia" w:ascii="宋体" w:hAnsi="宋体" w:cs="宋体"/>
                <w:color w:val="auto"/>
                <w:szCs w:val="21"/>
              </w:rPr>
            </w:pPr>
            <w:r>
              <w:rPr>
                <w:rFonts w:hint="eastAsia"/>
                <w:color w:val="auto"/>
                <w:szCs w:val="21"/>
              </w:rPr>
              <w:t>制定并执行《管理评审控制程序》：一年至少要进行一次管理评审，由总经理主持。特殊情况下，可增加管理评审频次。评审内容包括：</w:t>
            </w:r>
            <w:r>
              <w:rPr>
                <w:rFonts w:hint="eastAsia" w:ascii="宋体" w:hAnsi="宋体" w:cs="宋体"/>
                <w:color w:val="auto"/>
                <w:szCs w:val="21"/>
              </w:rPr>
              <w:t>企业方针和目标是否体现了最高管理者的宗旨和方向，是否被全体员工理解并付诸实施；</w:t>
            </w:r>
          </w:p>
          <w:p>
            <w:pPr>
              <w:spacing w:line="360" w:lineRule="atLeast"/>
              <w:rPr>
                <w:rFonts w:hint="eastAsia" w:ascii="宋体" w:hAnsi="宋体" w:cs="宋体"/>
                <w:color w:val="auto"/>
                <w:szCs w:val="21"/>
              </w:rPr>
            </w:pPr>
            <w:r>
              <w:rPr>
                <w:rFonts w:hint="eastAsia" w:ascii="宋体" w:hAnsi="宋体" w:cs="宋体"/>
                <w:color w:val="auto"/>
                <w:szCs w:val="21"/>
              </w:rPr>
              <w:t>公司管理体系的有效性、充分性、适宜性；企业的组织机构和资源需求及满足要求的程度；产品的完成情况及趋势分析；顾客反馈：包括意见、建议、投诉、抱怨等；有关的纠正和预防措施及其实施情况改进的意见；施工和服务满足要求的程度；工程、管理活动状况及发展趋势；潜在问题的预测；工程、管理水平改进和提高的机会；</w:t>
            </w:r>
            <w:r>
              <w:rPr>
                <w:rFonts w:hint="eastAsia" w:ascii="宋体" w:hAnsi="宋体" w:cs="宋体"/>
                <w:color w:val="auto"/>
                <w:szCs w:val="21"/>
                <w:lang w:eastAsia="zh-CN"/>
              </w:rPr>
              <w:t>危险源、重大环境因素控制情况合规性评价的情况</w:t>
            </w:r>
            <w:r>
              <w:rPr>
                <w:rFonts w:hint="eastAsia" w:ascii="宋体" w:hAnsi="宋体" w:cs="宋体"/>
                <w:color w:val="auto"/>
                <w:szCs w:val="21"/>
                <w:lang w:val="en-US" w:eastAsia="zh-CN"/>
              </w:rPr>
              <w:t xml:space="preserve"> </w:t>
            </w:r>
            <w:r>
              <w:rPr>
                <w:rFonts w:hint="eastAsia" w:ascii="宋体" w:hAnsi="宋体" w:cs="宋体"/>
                <w:color w:val="auto"/>
                <w:szCs w:val="21"/>
              </w:rPr>
              <w:t>等。</w:t>
            </w:r>
          </w:p>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ascii="宋体" w:hAnsi="宋体" w:cs="宋体"/>
                <w:color w:val="auto"/>
                <w:szCs w:val="21"/>
              </w:rPr>
            </w:pPr>
            <w:r>
              <w:rPr>
                <w:rFonts w:hint="eastAsia" w:ascii="宋体" w:hAnsi="宋体" w:cs="宋体"/>
                <w:color w:val="auto"/>
                <w:szCs w:val="21"/>
              </w:rPr>
              <w:t>时间：2021年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4</w:t>
            </w:r>
            <w:r>
              <w:rPr>
                <w:rFonts w:hint="eastAsia" w:ascii="宋体" w:hAnsi="宋体" w:cs="宋体"/>
                <w:color w:val="auto"/>
                <w:szCs w:val="21"/>
              </w:rPr>
              <w:t>日</w:t>
            </w:r>
          </w:p>
          <w:p>
            <w:pPr>
              <w:pStyle w:val="5"/>
              <w:pBdr>
                <w:bottom w:val="none" w:color="auto" w:sz="0" w:space="0"/>
              </w:pBdr>
              <w:ind w:right="360"/>
              <w:jc w:val="both"/>
              <w:rPr>
                <w:rFonts w:ascii="宋体" w:hAnsi="宋体" w:cs="宋体"/>
                <w:color w:val="auto"/>
                <w:kern w:val="0"/>
                <w:sz w:val="20"/>
                <w:szCs w:val="20"/>
              </w:rPr>
            </w:pPr>
            <w:r>
              <w:rPr>
                <w:rFonts w:hint="eastAsia" w:ascii="宋体" w:hAnsi="宋体" w:cs="宋体"/>
                <w:color w:val="auto"/>
                <w:szCs w:val="21"/>
              </w:rPr>
              <w:t>主持人：</w:t>
            </w:r>
            <w:r>
              <w:rPr>
                <w:rFonts w:hint="eastAsia" w:ascii="宋体" w:hAnsi="宋体" w:eastAsia="宋体" w:cs="宋体"/>
                <w:color w:val="auto"/>
                <w:kern w:val="2"/>
                <w:sz w:val="21"/>
                <w:szCs w:val="21"/>
                <w:lang w:val="en-US" w:eastAsia="zh-CN" w:bidi="ar-SA"/>
              </w:rPr>
              <w:t>杨剑总经理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质量、环境及职业健康方针的评审，</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numPr>
                <w:ilvl w:val="0"/>
                <w:numId w:val="3"/>
              </w:numPr>
              <w:spacing w:line="360" w:lineRule="atLeast"/>
              <w:ind w:left="0" w:firstLine="0"/>
              <w:rPr>
                <w:rFonts w:hint="eastAsia" w:ascii="宋体" w:hAnsi="宋体" w:cs="宋体"/>
                <w:color w:val="auto"/>
                <w:szCs w:val="21"/>
                <w:lang w:eastAsia="zh-CN"/>
              </w:rPr>
            </w:pPr>
            <w:r>
              <w:rPr>
                <w:rFonts w:hint="eastAsia" w:ascii="宋体" w:hAnsi="宋体" w:cs="宋体"/>
                <w:color w:val="auto"/>
                <w:szCs w:val="21"/>
              </w:rPr>
              <w:t>改进的</w:t>
            </w:r>
            <w:r>
              <w:rPr>
                <w:rFonts w:hint="eastAsia"/>
                <w:color w:val="auto"/>
                <w:szCs w:val="21"/>
              </w:rPr>
              <w:t>建议：</w:t>
            </w:r>
            <w:r>
              <w:rPr>
                <w:rFonts w:hint="eastAsia" w:ascii="宋体" w:hAnsi="宋体" w:cs="宋体"/>
                <w:color w:val="auto"/>
                <w:szCs w:val="21"/>
                <w:lang w:val="en-US" w:eastAsia="zh-CN"/>
              </w:rPr>
              <w:t>1、</w:t>
            </w:r>
            <w:r>
              <w:rPr>
                <w:rFonts w:hint="eastAsia" w:ascii="宋体" w:hAnsi="宋体" w:cs="宋体"/>
                <w:color w:val="auto"/>
                <w:szCs w:val="21"/>
                <w:lang w:eastAsia="zh-CN"/>
              </w:rPr>
              <w:t>加强对实施有效性的审核，对不理解和不按文件规定实施的环节进行培训和考核；</w:t>
            </w:r>
          </w:p>
          <w:p>
            <w:pPr>
              <w:numPr>
                <w:ilvl w:val="0"/>
                <w:numId w:val="0"/>
              </w:numPr>
              <w:spacing w:line="360" w:lineRule="atLeast"/>
              <w:ind w:leftChars="0" w:firstLine="1680" w:firstLineChars="8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lang w:eastAsia="zh-CN"/>
              </w:rPr>
              <w:t>通过对体系的进一步实施，努力提高全体员工的质量意识和工作的责任心</w:t>
            </w:r>
            <w:r>
              <w:rPr>
                <w:rFonts w:hint="eastAsia" w:ascii="宋体" w:hAnsi="宋体" w:cs="宋体"/>
                <w:color w:val="auto"/>
                <w:szCs w:val="21"/>
              </w:rPr>
              <w:t>。</w:t>
            </w:r>
          </w:p>
          <w:p>
            <w:pPr>
              <w:ind w:firstLine="420" w:firstLineChars="200"/>
              <w:rPr>
                <w:rFonts w:hint="eastAsia"/>
                <w:color w:val="auto"/>
                <w:szCs w:val="21"/>
              </w:rPr>
            </w:pPr>
            <w:r>
              <w:rPr>
                <w:rFonts w:hint="eastAsia"/>
                <w:color w:val="auto"/>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numPr>
                <w:ilvl w:val="0"/>
                <w:numId w:val="0"/>
              </w:numPr>
              <w:spacing w:line="360" w:lineRule="atLeast"/>
              <w:ind w:leftChars="0"/>
              <w:rPr>
                <w:rFonts w:hint="eastAsia"/>
                <w:color w:val="auto"/>
                <w:sz w:val="21"/>
                <w:szCs w:val="21"/>
              </w:rPr>
            </w:pPr>
            <w:r>
              <w:rPr>
                <w:rFonts w:hint="eastAsia" w:ascii="宋体" w:hAnsi="宋体" w:cs="宋体"/>
                <w:color w:val="auto"/>
                <w:sz w:val="21"/>
                <w:szCs w:val="21"/>
                <w:lang w:val="en-US" w:eastAsia="zh-CN" w:bidi="ar"/>
              </w:rPr>
              <w:t>查公司管理评审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w:t>
            </w:r>
            <w:r>
              <w:rPr>
                <w:rFonts w:hint="eastAsia" w:ascii="宋体" w:hAnsi="宋体" w:eastAsia="宋体" w:cs="宋体"/>
                <w:color w:val="auto"/>
                <w:sz w:val="21"/>
                <w:szCs w:val="21"/>
                <w:lang w:val="en-US" w:eastAsia="zh-CN" w:bidi="ar"/>
              </w:rPr>
              <w:t>情况</w:t>
            </w: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提供有2021年10月12日对</w:t>
            </w:r>
            <w:r>
              <w:rPr>
                <w:rFonts w:hint="eastAsia" w:ascii="宋体" w:hAnsi="宋体" w:eastAsia="宋体" w:cs="宋体"/>
                <w:color w:val="auto"/>
                <w:sz w:val="21"/>
                <w:szCs w:val="21"/>
                <w:lang w:eastAsia="zh-CN" w:bidi="ar"/>
              </w:rPr>
              <w:t>杨剑 李洪军</w:t>
            </w:r>
            <w:r>
              <w:rPr>
                <w:rFonts w:hint="eastAsia" w:ascii="宋体" w:hAnsi="宋体" w:eastAsia="宋体" w:cs="宋体"/>
                <w:color w:val="auto"/>
                <w:sz w:val="21"/>
                <w:szCs w:val="21"/>
                <w:lang w:val="en-US" w:eastAsia="zh-CN" w:bidi="ar"/>
              </w:rPr>
              <w:t xml:space="preserve"> </w:t>
            </w:r>
            <w:r>
              <w:rPr>
                <w:rFonts w:hint="eastAsia" w:ascii="宋体" w:hAnsi="宋体" w:eastAsia="宋体" w:cs="宋体"/>
                <w:color w:val="auto"/>
                <w:sz w:val="21"/>
                <w:szCs w:val="21"/>
                <w:lang w:eastAsia="zh-CN" w:bidi="ar"/>
              </w:rPr>
              <w:t>江锋 熊海英 杨凌云 成敏 谢志刚</w:t>
            </w:r>
            <w:r>
              <w:rPr>
                <w:rFonts w:hint="eastAsia" w:ascii="宋体" w:hAnsi="宋体" w:eastAsia="宋体" w:cs="宋体"/>
                <w:color w:val="auto"/>
                <w:sz w:val="21"/>
                <w:szCs w:val="21"/>
                <w:lang w:val="en-US" w:eastAsia="zh-CN" w:bidi="ar"/>
              </w:rPr>
              <w:t>等主要管理人员实施的</w:t>
            </w:r>
            <w:r>
              <w:rPr>
                <w:rFonts w:hint="eastAsia" w:ascii="宋体" w:hAnsi="宋体"/>
                <w:sz w:val="21"/>
                <w:szCs w:val="21"/>
              </w:rPr>
              <w:t>规章制度</w:t>
            </w:r>
            <w:r>
              <w:rPr>
                <w:rFonts w:hint="eastAsia" w:ascii="宋体" w:hAnsi="宋体"/>
                <w:sz w:val="21"/>
                <w:szCs w:val="21"/>
                <w:lang w:eastAsia="zh-CN"/>
              </w:rPr>
              <w:t>、</w:t>
            </w:r>
            <w:r>
              <w:rPr>
                <w:rFonts w:hint="eastAsia" w:ascii="宋体" w:hAnsi="宋体"/>
                <w:sz w:val="21"/>
                <w:szCs w:val="21"/>
                <w:lang w:val="en-US" w:eastAsia="zh-CN"/>
              </w:rPr>
              <w:t>管理</w:t>
            </w:r>
            <w:r>
              <w:rPr>
                <w:rFonts w:hint="eastAsia" w:ascii="宋体" w:hAnsi="宋体"/>
                <w:sz w:val="21"/>
                <w:szCs w:val="21"/>
              </w:rPr>
              <w:t>方针、程序</w:t>
            </w:r>
            <w:r>
              <w:rPr>
                <w:rFonts w:hint="eastAsia" w:ascii="宋体" w:hAnsi="宋体"/>
                <w:sz w:val="21"/>
                <w:szCs w:val="21"/>
                <w:lang w:val="en-US" w:eastAsia="zh-CN"/>
              </w:rPr>
              <w:t>及</w:t>
            </w:r>
            <w:r>
              <w:rPr>
                <w:rFonts w:hint="eastAsia" w:ascii="宋体" w:hAnsi="宋体" w:cs="宋体"/>
                <w:sz w:val="21"/>
                <w:szCs w:val="21"/>
              </w:rPr>
              <w:t>作业指导</w:t>
            </w:r>
            <w:r>
              <w:rPr>
                <w:rFonts w:hint="eastAsia" w:ascii="宋体" w:hAnsi="宋体" w:cs="宋体"/>
                <w:sz w:val="21"/>
                <w:szCs w:val="21"/>
                <w:lang w:val="en-US" w:eastAsia="zh-CN"/>
              </w:rPr>
              <w:t>专题</w:t>
            </w:r>
            <w:r>
              <w:rPr>
                <w:rFonts w:hint="eastAsia" w:ascii="宋体" w:hAnsi="宋体" w:eastAsia="宋体" w:cs="宋体"/>
                <w:color w:val="auto"/>
                <w:sz w:val="21"/>
                <w:szCs w:val="21"/>
                <w:lang w:val="en-US" w:eastAsia="zh-CN" w:bidi="ar"/>
              </w:rPr>
              <w:t>培训记录，记录显示按要求进行了专题培训，培训效果良好。</w:t>
            </w:r>
          </w:p>
          <w:p>
            <w:pPr>
              <w:ind w:firstLine="420" w:firstLineChars="200"/>
              <w:rPr>
                <w:color w:val="auto"/>
                <w:szCs w:val="21"/>
              </w:rPr>
            </w:pPr>
            <w:r>
              <w:rPr>
                <w:rFonts w:hint="eastAsia"/>
                <w:color w:val="auto"/>
                <w:szCs w:val="21"/>
              </w:rPr>
              <w:t>结论：公司质量、环境及职业健康安全管理体系能适应市场变化和公司现状，管理体系运行有效。方针、目标与公司的经营宗旨相适应。</w:t>
            </w:r>
          </w:p>
        </w:tc>
        <w:tc>
          <w:tcPr>
            <w:tcW w:w="709" w:type="dxa"/>
            <w:vAlign w:val="top"/>
          </w:tcPr>
          <w:p>
            <w:pPr>
              <w:jc w:val="both"/>
              <w:rPr>
                <w:rFonts w:hint="eastAsia" w:eastAsia="宋体"/>
                <w:b/>
                <w:color w:val="auto"/>
                <w:lang w:val="en-US" w:eastAsia="zh-CN"/>
              </w:rPr>
            </w:pPr>
            <w:r>
              <w:rPr>
                <w:rFonts w:hint="eastAsia"/>
                <w:b/>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top"/>
          </w:tcPr>
          <w:p>
            <w:pPr>
              <w:jc w:val="both"/>
              <w:rPr>
                <w:b/>
                <w:color w:val="auto"/>
              </w:rPr>
            </w:pPr>
            <w:r>
              <w:rPr>
                <w:rFonts w:hint="eastAsia"/>
                <w:color w:val="auto"/>
                <w:szCs w:val="21"/>
              </w:rPr>
              <w:t>总则</w:t>
            </w:r>
          </w:p>
        </w:tc>
        <w:tc>
          <w:tcPr>
            <w:tcW w:w="1134" w:type="dxa"/>
            <w:vAlign w:val="top"/>
          </w:tcPr>
          <w:p>
            <w:pPr>
              <w:jc w:val="both"/>
              <w:rPr>
                <w:rFonts w:hint="eastAsia" w:eastAsia="宋体"/>
                <w:color w:val="auto"/>
                <w:szCs w:val="21"/>
                <w:lang w:val="en-US" w:eastAsia="zh-CN"/>
              </w:rPr>
            </w:pPr>
            <w:r>
              <w:rPr>
                <w:rFonts w:hint="eastAsia"/>
                <w:color w:val="auto"/>
                <w:szCs w:val="21"/>
              </w:rPr>
              <w:t>QE</w:t>
            </w:r>
            <w:r>
              <w:rPr>
                <w:rFonts w:hint="eastAsia"/>
                <w:color w:val="auto"/>
                <w:szCs w:val="21"/>
                <w:lang w:val="en-US" w:eastAsia="zh-CN"/>
              </w:rPr>
              <w:t>O</w:t>
            </w:r>
          </w:p>
          <w:p>
            <w:pPr>
              <w:jc w:val="both"/>
              <w:rPr>
                <w:color w:val="auto"/>
                <w:szCs w:val="21"/>
              </w:rPr>
            </w:pPr>
            <w:r>
              <w:rPr>
                <w:rFonts w:hint="eastAsia"/>
                <w:color w:val="auto"/>
                <w:szCs w:val="21"/>
              </w:rPr>
              <w:t>10.1</w:t>
            </w:r>
          </w:p>
          <w:p>
            <w:pPr>
              <w:jc w:val="both"/>
              <w:rPr>
                <w:color w:val="auto"/>
                <w:szCs w:val="21"/>
              </w:rPr>
            </w:pPr>
            <w:r>
              <w:rPr>
                <w:rFonts w:hint="eastAsia"/>
                <w:color w:val="auto"/>
                <w:szCs w:val="21"/>
              </w:rPr>
              <w:t>J12.1</w:t>
            </w:r>
          </w:p>
        </w:tc>
        <w:tc>
          <w:tcPr>
            <w:tcW w:w="11057" w:type="dxa"/>
            <w:vAlign w:val="center"/>
          </w:tcPr>
          <w:p>
            <w:pPr>
              <w:ind w:firstLine="420" w:firstLineChars="200"/>
              <w:rPr>
                <w:color w:val="auto"/>
                <w:szCs w:val="21"/>
              </w:rPr>
            </w:pPr>
            <w:r>
              <w:rPr>
                <w:rFonts w:hint="eastAsia"/>
                <w:color w:val="auto"/>
                <w:szCs w:val="21"/>
              </w:rPr>
              <w:t>查公司在建立、实施管理体系中：</w:t>
            </w:r>
          </w:p>
          <w:p>
            <w:pPr>
              <w:ind w:firstLine="420" w:firstLineChars="200"/>
              <w:rPr>
                <w:color w:val="auto"/>
                <w:szCs w:val="21"/>
              </w:rPr>
            </w:pPr>
            <w:r>
              <w:rPr>
                <w:rFonts w:hint="eastAsia"/>
                <w:color w:val="auto"/>
                <w:szCs w:val="21"/>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p>
        </w:tc>
        <w:tc>
          <w:tcPr>
            <w:tcW w:w="709" w:type="dxa"/>
            <w:vAlign w:val="top"/>
          </w:tcPr>
          <w:p>
            <w:pPr>
              <w:jc w:val="both"/>
              <w:rPr>
                <w:rFonts w:hint="eastAsia" w:eastAsia="宋体"/>
                <w:b/>
                <w:color w:val="auto"/>
                <w:lang w:val="en-US" w:eastAsia="zh-CN"/>
              </w:rPr>
            </w:pPr>
            <w:r>
              <w:rPr>
                <w:rFonts w:hint="eastAsia"/>
                <w:b/>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top"/>
          </w:tcPr>
          <w:p>
            <w:pPr>
              <w:jc w:val="both"/>
              <w:rPr>
                <w:b/>
                <w:color w:val="auto"/>
              </w:rPr>
            </w:pPr>
            <w:r>
              <w:rPr>
                <w:rFonts w:hint="eastAsia"/>
                <w:color w:val="auto"/>
                <w:szCs w:val="21"/>
              </w:rPr>
              <w:t>持续改进</w:t>
            </w:r>
          </w:p>
        </w:tc>
        <w:tc>
          <w:tcPr>
            <w:tcW w:w="1134" w:type="dxa"/>
            <w:vAlign w:val="top"/>
          </w:tcPr>
          <w:p>
            <w:pPr>
              <w:jc w:val="both"/>
              <w:rPr>
                <w:rFonts w:hint="eastAsia" w:eastAsia="宋体"/>
                <w:color w:val="auto"/>
                <w:szCs w:val="21"/>
                <w:lang w:val="en-US" w:eastAsia="zh-CN"/>
              </w:rPr>
            </w:pPr>
            <w:r>
              <w:rPr>
                <w:rFonts w:hint="eastAsia"/>
                <w:color w:val="auto"/>
                <w:szCs w:val="21"/>
              </w:rPr>
              <w:t>QE</w:t>
            </w:r>
            <w:r>
              <w:rPr>
                <w:rFonts w:hint="eastAsia"/>
                <w:color w:val="auto"/>
                <w:szCs w:val="21"/>
                <w:lang w:val="en-US" w:eastAsia="zh-CN"/>
              </w:rPr>
              <w:t>O</w:t>
            </w:r>
          </w:p>
          <w:p>
            <w:pPr>
              <w:jc w:val="both"/>
              <w:rPr>
                <w:color w:val="auto"/>
                <w:szCs w:val="21"/>
              </w:rPr>
            </w:pPr>
            <w:r>
              <w:rPr>
                <w:rFonts w:hint="eastAsia"/>
                <w:color w:val="auto"/>
                <w:szCs w:val="21"/>
              </w:rPr>
              <w:t>10.3</w:t>
            </w:r>
          </w:p>
          <w:p>
            <w:pPr>
              <w:jc w:val="both"/>
              <w:rPr>
                <w:color w:val="auto"/>
                <w:szCs w:val="21"/>
              </w:rPr>
            </w:pPr>
            <w:r>
              <w:rPr>
                <w:rFonts w:hint="eastAsia"/>
                <w:color w:val="auto"/>
                <w:szCs w:val="21"/>
              </w:rPr>
              <w:t>J12.5</w:t>
            </w:r>
          </w:p>
        </w:tc>
        <w:tc>
          <w:tcPr>
            <w:tcW w:w="11057" w:type="dxa"/>
            <w:vAlign w:val="center"/>
          </w:tcPr>
          <w:p>
            <w:pPr>
              <w:rPr>
                <w:rFonts w:ascii="宋体" w:hAnsi="宋体"/>
                <w:color w:val="auto"/>
                <w:szCs w:val="21"/>
              </w:rPr>
            </w:pPr>
            <w:r>
              <w:rPr>
                <w:rFonts w:hint="eastAsia" w:ascii="宋体" w:hAnsi="宋体"/>
                <w:color w:val="auto"/>
                <w:szCs w:val="21"/>
              </w:rPr>
              <w:t>公司制定系列程序文件《管理评审控制程序》、</w:t>
            </w:r>
            <w:r>
              <w:rPr>
                <w:rFonts w:hint="eastAsia"/>
                <w:color w:val="auto"/>
                <w:szCs w:val="21"/>
              </w:rPr>
              <w:t>《事故事件不符合控制程序》、</w:t>
            </w:r>
            <w:r>
              <w:rPr>
                <w:rFonts w:hint="eastAsia" w:ascii="宋体" w:hAnsi="宋体"/>
                <w:color w:val="auto"/>
                <w:szCs w:val="21"/>
              </w:rPr>
              <w:t>《内部审核控制程序》及</w:t>
            </w:r>
            <w:r>
              <w:rPr>
                <w:rFonts w:hint="eastAsia"/>
                <w:color w:val="auto"/>
                <w:szCs w:val="21"/>
              </w:rPr>
              <w:t>《改进控制程序》</w:t>
            </w:r>
            <w:r>
              <w:rPr>
                <w:rFonts w:hint="eastAsia" w:ascii="宋体" w:hAnsi="宋体"/>
                <w:color w:val="auto"/>
                <w:szCs w:val="21"/>
              </w:rPr>
              <w:t>等，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公司通过方针、目标的达成分析、内部审核结果、数据资料统计分析、纠正和预防措施和管理评审等方式，以推动质量、环境和职业健康安全管理体系的持续改进。</w:t>
            </w:r>
          </w:p>
          <w:p>
            <w:pPr>
              <w:ind w:firstLine="420" w:firstLineChars="200"/>
              <w:rPr>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709" w:type="dxa"/>
            <w:vAlign w:val="top"/>
          </w:tcPr>
          <w:p>
            <w:pPr>
              <w:jc w:val="both"/>
              <w:rPr>
                <w:rFonts w:hint="eastAsia" w:eastAsia="宋体"/>
                <w:b/>
                <w:color w:val="auto"/>
                <w:lang w:val="en-US" w:eastAsia="zh-CN"/>
              </w:rPr>
            </w:pPr>
            <w:r>
              <w:rPr>
                <w:rFonts w:hint="eastAsia"/>
                <w:b/>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top"/>
          </w:tcPr>
          <w:p>
            <w:pPr>
              <w:spacing w:line="240" w:lineRule="auto"/>
              <w:jc w:val="both"/>
              <w:rPr>
                <w:color w:val="auto"/>
                <w:sz w:val="21"/>
                <w:szCs w:val="21"/>
              </w:rPr>
            </w:pPr>
            <w:r>
              <w:rPr>
                <w:rFonts w:hint="eastAsia"/>
                <w:color w:val="auto"/>
                <w:sz w:val="21"/>
                <w:szCs w:val="21"/>
              </w:rPr>
              <w:t>资质验证/范围再确认/一阶段问题验证/投诉或事故/政府主管部门监督抽查情况</w:t>
            </w:r>
          </w:p>
        </w:tc>
        <w:tc>
          <w:tcPr>
            <w:tcW w:w="1134" w:type="dxa"/>
            <w:vAlign w:val="center"/>
          </w:tcPr>
          <w:p>
            <w:pPr>
              <w:spacing w:line="240" w:lineRule="auto"/>
              <w:rPr>
                <w:color w:val="auto"/>
                <w:sz w:val="21"/>
                <w:szCs w:val="21"/>
              </w:rPr>
            </w:pPr>
          </w:p>
        </w:tc>
        <w:tc>
          <w:tcPr>
            <w:tcW w:w="11057" w:type="dxa"/>
            <w:vAlign w:val="center"/>
          </w:tcPr>
          <w:p>
            <w:pPr>
              <w:spacing w:line="240" w:lineRule="auto"/>
              <w:rPr>
                <w:rFonts w:hint="eastAsia"/>
                <w:color w:val="auto"/>
                <w:sz w:val="21"/>
                <w:szCs w:val="21"/>
              </w:rPr>
            </w:pPr>
            <w:r>
              <w:rPr>
                <w:rFonts w:hint="eastAsia"/>
                <w:color w:val="auto"/>
                <w:sz w:val="21"/>
                <w:szCs w:val="21"/>
              </w:rPr>
              <w:t>查阅营业执照、</w:t>
            </w:r>
            <w:r>
              <w:rPr>
                <w:rFonts w:hint="eastAsia"/>
                <w:color w:val="auto"/>
                <w:sz w:val="21"/>
                <w:szCs w:val="21"/>
                <w:lang w:val="en-US" w:eastAsia="zh-CN"/>
              </w:rPr>
              <w:t>地基基础工程专业承包壹级建筑业企业</w:t>
            </w:r>
            <w:r>
              <w:rPr>
                <w:rFonts w:hint="eastAsia"/>
                <w:color w:val="auto"/>
                <w:sz w:val="21"/>
                <w:szCs w:val="21"/>
              </w:rPr>
              <w:t>资质证书</w:t>
            </w:r>
            <w:r>
              <w:rPr>
                <w:rFonts w:hint="eastAsia"/>
                <w:color w:val="auto"/>
                <w:sz w:val="21"/>
                <w:szCs w:val="21"/>
                <w:lang w:eastAsia="zh-CN"/>
              </w:rPr>
              <w:t>（</w:t>
            </w:r>
            <w:r>
              <w:rPr>
                <w:rFonts w:hint="eastAsia"/>
                <w:color w:val="auto"/>
                <w:sz w:val="21"/>
                <w:szCs w:val="21"/>
                <w:lang w:val="en-US" w:eastAsia="zh-CN"/>
              </w:rPr>
              <w:t>有效期2021年12月27日，提供有四川省住房和城乡建设厅关于继续延长有关建设工程企业资质有效期的通告，见附件）</w:t>
            </w:r>
            <w:r>
              <w:rPr>
                <w:rFonts w:hint="eastAsia"/>
                <w:color w:val="auto"/>
                <w:sz w:val="21"/>
                <w:szCs w:val="21"/>
              </w:rPr>
              <w:t>、</w:t>
            </w:r>
            <w:r>
              <w:rPr>
                <w:rFonts w:hint="eastAsia"/>
                <w:color w:val="auto"/>
                <w:sz w:val="21"/>
                <w:szCs w:val="21"/>
                <w:lang w:val="en-US" w:eastAsia="zh-CN"/>
              </w:rPr>
              <w:t>施工劳务不分等级建筑业企业资质证书、</w:t>
            </w:r>
            <w:r>
              <w:rPr>
                <w:rFonts w:hint="eastAsia"/>
                <w:color w:val="auto"/>
                <w:sz w:val="21"/>
                <w:szCs w:val="21"/>
              </w:rPr>
              <w:t>安全生产许可证、施工许可证在有效期内，认证范围符合要求；</w:t>
            </w:r>
          </w:p>
          <w:p>
            <w:pPr>
              <w:spacing w:line="240" w:lineRule="auto"/>
              <w:ind w:firstLine="210" w:firstLineChars="1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现场确认，公司质量、</w:t>
            </w:r>
            <w:r>
              <w:rPr>
                <w:rFonts w:hint="eastAsia" w:ascii="宋体" w:hAnsi="宋体" w:cs="Times New Roman"/>
                <w:color w:val="auto"/>
                <w:sz w:val="21"/>
                <w:szCs w:val="21"/>
                <w:highlight w:val="none"/>
                <w:lang w:val="en-US" w:eastAsia="zh-CN"/>
              </w:rPr>
              <w:t>环境和</w:t>
            </w:r>
            <w:r>
              <w:rPr>
                <w:rFonts w:hint="eastAsia" w:ascii="宋体" w:hAnsi="宋体" w:eastAsia="宋体" w:cs="Times New Roman"/>
                <w:color w:val="auto"/>
                <w:sz w:val="21"/>
                <w:szCs w:val="21"/>
                <w:highlight w:val="none"/>
                <w:lang w:val="en-US" w:eastAsia="zh-CN"/>
              </w:rPr>
              <w:t>职业健康安全</w:t>
            </w:r>
            <w:r>
              <w:rPr>
                <w:rFonts w:hint="eastAsia" w:ascii="宋体" w:hAnsi="宋体" w:eastAsia="宋体" w:cs="Times New Roman"/>
                <w:color w:val="auto"/>
                <w:sz w:val="21"/>
                <w:szCs w:val="21"/>
                <w:highlight w:val="none"/>
                <w:lang w:eastAsia="zh-CN"/>
              </w:rPr>
              <w:t>管理体系覆盖范围：</w:t>
            </w:r>
          </w:p>
          <w:p>
            <w:pPr>
              <w:spacing w:line="240" w:lineRule="auto"/>
              <w:rPr>
                <w:rFonts w:hint="eastAsia" w:eastAsia="宋体"/>
                <w:color w:val="auto"/>
                <w:sz w:val="21"/>
                <w:szCs w:val="21"/>
                <w:lang w:eastAsia="zh-CN"/>
              </w:rPr>
            </w:pPr>
            <w:r>
              <w:rPr>
                <w:color w:val="auto"/>
                <w:sz w:val="21"/>
                <w:szCs w:val="21"/>
              </w:rPr>
              <w:t>EC：资质范围内地基基础工程施工承包，施工劳务分包</w:t>
            </w:r>
            <w:r>
              <w:rPr>
                <w:rFonts w:hint="eastAsia"/>
                <w:color w:val="auto"/>
                <w:sz w:val="21"/>
                <w:szCs w:val="21"/>
                <w:lang w:eastAsia="zh-CN"/>
              </w:rPr>
              <w:t>。</w:t>
            </w:r>
          </w:p>
          <w:p>
            <w:pPr>
              <w:spacing w:line="240" w:lineRule="auto"/>
              <w:rPr>
                <w:rFonts w:hint="eastAsia" w:eastAsia="宋体"/>
                <w:color w:val="auto"/>
                <w:sz w:val="21"/>
                <w:szCs w:val="21"/>
                <w:lang w:eastAsia="zh-CN"/>
              </w:rPr>
            </w:pPr>
            <w:r>
              <w:rPr>
                <w:color w:val="auto"/>
                <w:sz w:val="21"/>
                <w:szCs w:val="21"/>
              </w:rPr>
              <w:t>E：资质范围内地基基础工程施工承包，施工劳务分包所涉及场所的相关环境管理活动</w:t>
            </w:r>
            <w:r>
              <w:rPr>
                <w:rFonts w:hint="eastAsia"/>
                <w:color w:val="auto"/>
                <w:sz w:val="21"/>
                <w:szCs w:val="21"/>
                <w:lang w:eastAsia="zh-CN"/>
              </w:rPr>
              <w:t>。</w:t>
            </w:r>
          </w:p>
          <w:p>
            <w:pPr>
              <w:pStyle w:val="2"/>
              <w:spacing w:line="240" w:lineRule="auto"/>
              <w:rPr>
                <w:rFonts w:hint="eastAsia" w:eastAsia="宋体"/>
                <w:color w:val="auto"/>
                <w:sz w:val="21"/>
                <w:szCs w:val="21"/>
                <w:lang w:eastAsia="zh-CN"/>
              </w:rPr>
            </w:pPr>
            <w:r>
              <w:rPr>
                <w:color w:val="auto"/>
                <w:sz w:val="21"/>
                <w:szCs w:val="21"/>
              </w:rPr>
              <w:t>O：资质范围内地基基础工程施工承包，施工劳务分包所涉及场所的相关职业健康安全管理活动</w:t>
            </w:r>
            <w:r>
              <w:rPr>
                <w:rFonts w:hint="eastAsia"/>
                <w:color w:val="auto"/>
                <w:sz w:val="21"/>
                <w:szCs w:val="21"/>
                <w:lang w:eastAsia="zh-CN"/>
              </w:rPr>
              <w:t>。</w:t>
            </w:r>
          </w:p>
          <w:p>
            <w:pPr>
              <w:pStyle w:val="11"/>
              <w:spacing w:line="240" w:lineRule="auto"/>
              <w:ind w:firstLine="563"/>
              <w:rPr>
                <w:rFonts w:hint="eastAsia"/>
                <w:bCs w:val="0"/>
                <w:color w:val="auto"/>
                <w:spacing w:val="0"/>
                <w:sz w:val="21"/>
                <w:szCs w:val="21"/>
              </w:rPr>
            </w:pPr>
            <w:r>
              <w:rPr>
                <w:rFonts w:hint="eastAsia"/>
                <w:bCs w:val="0"/>
                <w:color w:val="auto"/>
                <w:spacing w:val="0"/>
                <w:sz w:val="21"/>
                <w:szCs w:val="21"/>
              </w:rPr>
              <w:t>范围无变化与任务书一致；</w:t>
            </w:r>
          </w:p>
          <w:p>
            <w:pPr>
              <w:spacing w:line="240"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公司经营地址：</w:t>
            </w:r>
          </w:p>
          <w:p>
            <w:pPr>
              <w:spacing w:line="240" w:lineRule="auto"/>
              <w:ind w:firstLine="420" w:firstLineChars="200"/>
              <w:rPr>
                <w:rFonts w:hint="eastAsia" w:ascii="宋体" w:hAnsi="宋体" w:eastAsia="宋体" w:cs="宋体"/>
                <w:color w:val="auto"/>
                <w:sz w:val="21"/>
                <w:szCs w:val="21"/>
                <w:highlight w:val="none"/>
                <w:lang w:eastAsia="zh-CN"/>
              </w:rPr>
            </w:pPr>
            <w:bookmarkStart w:id="2" w:name="生产地址"/>
            <w:r>
              <w:rPr>
                <w:rFonts w:hint="eastAsia"/>
                <w:szCs w:val="21"/>
              </w:rPr>
              <w:t>成都市武侯区武科东二路460号7栋14层1406号</w:t>
            </w:r>
            <w:bookmarkEnd w:id="2"/>
            <w:r>
              <w:rPr>
                <w:rFonts w:hint="eastAsia" w:ascii="宋体" w:hAnsi="宋体" w:cs="宋体"/>
                <w:color w:val="auto"/>
                <w:sz w:val="21"/>
                <w:szCs w:val="21"/>
                <w:highlight w:val="none"/>
                <w:lang w:eastAsia="zh-CN"/>
              </w:rPr>
              <w:t>。</w:t>
            </w:r>
          </w:p>
          <w:p>
            <w:pPr>
              <w:spacing w:line="24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项目部地址</w:t>
            </w:r>
            <w:r>
              <w:rPr>
                <w:rFonts w:hint="eastAsia" w:ascii="宋体" w:hAnsi="宋体" w:cs="宋体"/>
                <w:color w:val="auto"/>
                <w:sz w:val="21"/>
                <w:szCs w:val="21"/>
                <w:highlight w:val="none"/>
              </w:rPr>
              <w:t>：</w:t>
            </w:r>
            <w:r>
              <w:rPr>
                <w:rFonts w:hint="eastAsia"/>
                <w:szCs w:val="21"/>
              </w:rPr>
              <w:t xml:space="preserve">重庆市南岸区凤临路9号金辉大厦A座11-3 </w:t>
            </w:r>
            <w:r>
              <w:rPr>
                <w:rFonts w:hint="eastAsia" w:ascii="宋体" w:hAnsi="宋体" w:cs="宋体"/>
                <w:color w:val="auto"/>
                <w:sz w:val="21"/>
                <w:szCs w:val="21"/>
                <w:highlight w:val="none"/>
                <w:lang w:eastAsia="zh-CN"/>
              </w:rPr>
              <w:t>。</w:t>
            </w:r>
          </w:p>
          <w:p>
            <w:pPr>
              <w:spacing w:line="360" w:lineRule="auto"/>
              <w:ind w:firstLine="210" w:firstLineChars="100"/>
              <w:rPr>
                <w:rFonts w:hint="eastAsia" w:ascii="宋体" w:hAnsi="宋体" w:cs="宋体"/>
                <w:color w:val="auto"/>
                <w:sz w:val="21"/>
                <w:szCs w:val="21"/>
                <w:highlight w:val="none"/>
              </w:rPr>
            </w:pPr>
            <w:r>
              <w:rPr>
                <w:rFonts w:hint="eastAsia" w:ascii="宋体" w:hAnsi="宋体" w:eastAsia="宋体" w:cs="Times New Roman"/>
                <w:color w:val="auto"/>
                <w:szCs w:val="21"/>
              </w:rPr>
              <w:t>一阶段问题验证：</w:t>
            </w:r>
            <w:r>
              <w:rPr>
                <w:rFonts w:hint="eastAsia" w:eastAsia="宋体"/>
                <w:szCs w:val="21"/>
              </w:rPr>
              <w:t>一阶段审核</w:t>
            </w:r>
            <w:r>
              <w:rPr>
                <w:rFonts w:hint="eastAsia" w:eastAsia="宋体"/>
                <w:szCs w:val="21"/>
                <w:lang w:eastAsia="zh-CN"/>
              </w:rPr>
              <w:t>发现</w:t>
            </w:r>
            <w:r>
              <w:rPr>
                <w:rFonts w:hint="eastAsia" w:eastAsia="宋体"/>
                <w:szCs w:val="21"/>
                <w:lang w:val="en-US" w:eastAsia="zh-CN"/>
              </w:rPr>
              <w:t>测量用的GNSS接收机</w:t>
            </w:r>
            <w:r>
              <w:rPr>
                <w:rFonts w:hint="eastAsia" w:eastAsia="宋体"/>
                <w:szCs w:val="21"/>
              </w:rPr>
              <w:t>未提供有效的检定或校准记录</w:t>
            </w:r>
            <w:r>
              <w:rPr>
                <w:rFonts w:hint="eastAsia" w:eastAsia="宋体"/>
                <w:szCs w:val="21"/>
                <w:lang w:eastAsia="zh-CN"/>
              </w:rPr>
              <w:t>，未得到改善</w:t>
            </w:r>
            <w:r>
              <w:rPr>
                <w:rFonts w:hint="eastAsia" w:eastAsia="宋体"/>
                <w:szCs w:val="21"/>
              </w:rPr>
              <w:t>。</w:t>
            </w:r>
            <w:bookmarkStart w:id="3" w:name="_GoBack"/>
            <w:bookmarkEnd w:id="3"/>
          </w:p>
          <w:p>
            <w:pPr>
              <w:spacing w:line="360" w:lineRule="auto"/>
              <w:ind w:firstLine="210" w:firstLineChars="100"/>
              <w:rPr>
                <w:rFonts w:hint="eastAsia" w:eastAsia="宋体"/>
                <w:bCs w:val="0"/>
                <w:color w:val="auto"/>
                <w:spacing w:val="0"/>
                <w:sz w:val="21"/>
                <w:szCs w:val="21"/>
                <w:lang w:eastAsia="zh-CN"/>
              </w:rPr>
            </w:pPr>
            <w:r>
              <w:rPr>
                <w:rFonts w:hint="eastAsia" w:ascii="宋体" w:hAnsi="宋体" w:eastAsia="宋体" w:cs="Times New Roman"/>
                <w:color w:val="auto"/>
                <w:szCs w:val="21"/>
                <w:highlight w:val="none"/>
                <w:lang w:eastAsia="zh-CN"/>
              </w:rPr>
              <w:t>公司严格执行国标及行业要求和法律、法规要求</w:t>
            </w:r>
            <w:r>
              <w:rPr>
                <w:rFonts w:hint="eastAsia" w:ascii="宋体" w:hAnsi="宋体" w:cs="Times New Roman"/>
                <w:color w:val="auto"/>
                <w:szCs w:val="21"/>
                <w:highlight w:val="none"/>
                <w:lang w:eastAsia="zh-CN"/>
              </w:rPr>
              <w:t>，</w:t>
            </w:r>
            <w:r>
              <w:rPr>
                <w:rFonts w:hint="eastAsia"/>
                <w:bCs w:val="0"/>
                <w:color w:val="auto"/>
                <w:spacing w:val="0"/>
                <w:sz w:val="21"/>
                <w:szCs w:val="21"/>
              </w:rPr>
              <w:t>无重大投诉</w:t>
            </w:r>
            <w:r>
              <w:rPr>
                <w:rFonts w:hint="eastAsia"/>
                <w:bCs w:val="0"/>
                <w:color w:val="auto"/>
                <w:spacing w:val="0"/>
                <w:sz w:val="21"/>
                <w:szCs w:val="21"/>
                <w:lang w:eastAsia="zh-CN"/>
              </w:rPr>
              <w:t>。</w:t>
            </w:r>
          </w:p>
          <w:p>
            <w:pPr>
              <w:pStyle w:val="11"/>
              <w:spacing w:line="240" w:lineRule="auto"/>
              <w:ind w:firstLine="563"/>
              <w:rPr>
                <w:bCs w:val="0"/>
                <w:color w:val="auto"/>
                <w:spacing w:val="0"/>
                <w:sz w:val="21"/>
                <w:szCs w:val="21"/>
              </w:rPr>
            </w:pPr>
            <w:r>
              <w:rPr>
                <w:rFonts w:hint="eastAsia"/>
                <w:bCs w:val="0"/>
                <w:color w:val="auto"/>
                <w:spacing w:val="0"/>
                <w:sz w:val="21"/>
                <w:szCs w:val="21"/>
              </w:rPr>
              <w:t>无政府部门监督抽查。</w:t>
            </w:r>
          </w:p>
          <w:p>
            <w:pPr>
              <w:pStyle w:val="11"/>
              <w:spacing w:line="240" w:lineRule="auto"/>
              <w:ind w:firstLine="563"/>
              <w:rPr>
                <w:color w:val="auto"/>
                <w:sz w:val="21"/>
                <w:szCs w:val="21"/>
              </w:rPr>
            </w:pPr>
            <w:r>
              <w:rPr>
                <w:rFonts w:hint="eastAsia"/>
                <w:bCs w:val="0"/>
                <w:color w:val="auto"/>
                <w:spacing w:val="0"/>
                <w:sz w:val="21"/>
                <w:szCs w:val="21"/>
              </w:rPr>
              <w:t>无质量环境安全事故发生。</w:t>
            </w:r>
          </w:p>
        </w:tc>
        <w:tc>
          <w:tcPr>
            <w:tcW w:w="709" w:type="dxa"/>
            <w:vAlign w:val="center"/>
          </w:tcPr>
          <w:p>
            <w:pPr>
              <w:spacing w:line="240" w:lineRule="auto"/>
              <w:rPr>
                <w:b/>
                <w:color w:val="auto"/>
                <w:sz w:val="21"/>
                <w:szCs w:val="21"/>
              </w:rPr>
            </w:pPr>
          </w:p>
        </w:tc>
      </w:tr>
    </w:tbl>
    <w:p>
      <w:pPr>
        <w:rPr>
          <w:rFonts w:hint="eastAsia"/>
          <w:sz w:val="18"/>
          <w:szCs w:val="18"/>
        </w:rPr>
      </w:pPr>
      <w:r>
        <w:rPr>
          <w:rFonts w:hint="eastAsia"/>
          <w:sz w:val="18"/>
          <w:szCs w:val="18"/>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92"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198" w:type="dxa"/>
            <w:vAlign w:val="center"/>
          </w:tcPr>
          <w:p>
            <w:pPr>
              <w:rPr>
                <w:rFonts w:hint="eastAsia" w:eastAsia="宋体"/>
                <w:color w:val="auto"/>
                <w:sz w:val="24"/>
                <w:szCs w:val="24"/>
                <w:lang w:eastAsia="zh-CN"/>
              </w:rPr>
            </w:pPr>
            <w:r>
              <w:rPr>
                <w:rFonts w:hint="eastAsia"/>
                <w:color w:val="auto"/>
                <w:sz w:val="24"/>
                <w:szCs w:val="24"/>
              </w:rPr>
              <w:t xml:space="preserve">受审核部门：财务部 </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lang w:val="en-US" w:eastAsia="zh-CN"/>
              </w:rPr>
              <w:t>李红军</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陪同人员：</w:t>
            </w:r>
            <w:r>
              <w:rPr>
                <w:rFonts w:hint="eastAsia"/>
                <w:color w:val="auto"/>
                <w:sz w:val="24"/>
                <w:szCs w:val="24"/>
                <w:lang w:val="en-US" w:eastAsia="zh-CN"/>
              </w:rPr>
              <w:t>熊海英</w:t>
            </w:r>
          </w:p>
        </w:tc>
        <w:tc>
          <w:tcPr>
            <w:tcW w:w="851"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rPr>
                <w:szCs w:val="21"/>
              </w:rPr>
            </w:pPr>
          </w:p>
        </w:tc>
        <w:tc>
          <w:tcPr>
            <w:tcW w:w="992" w:type="dxa"/>
            <w:vMerge w:val="continue"/>
            <w:vAlign w:val="center"/>
          </w:tcPr>
          <w:p>
            <w:pPr>
              <w:rPr>
                <w:szCs w:val="21"/>
              </w:rPr>
            </w:pPr>
          </w:p>
        </w:tc>
        <w:tc>
          <w:tcPr>
            <w:tcW w:w="11198" w:type="dxa"/>
            <w:vAlign w:val="center"/>
          </w:tcPr>
          <w:p>
            <w:pPr>
              <w:spacing w:before="120"/>
              <w:rPr>
                <w:color w:val="auto"/>
                <w:sz w:val="24"/>
                <w:szCs w:val="24"/>
              </w:rPr>
            </w:pPr>
            <w:r>
              <w:rPr>
                <w:rFonts w:hint="eastAsia"/>
                <w:color w:val="auto"/>
                <w:sz w:val="24"/>
                <w:szCs w:val="24"/>
              </w:rPr>
              <w:t xml:space="preserve">审核员： </w:t>
            </w:r>
            <w:r>
              <w:rPr>
                <w:rFonts w:hint="eastAsia" w:ascii="宋体" w:hAnsi="宋体" w:cs="楷体_GB2312"/>
                <w:color w:val="auto"/>
                <w:sz w:val="24"/>
                <w:szCs w:val="24"/>
                <w:lang w:val="en-US" w:eastAsia="zh-CN"/>
              </w:rPr>
              <w:t>杨珍全</w:t>
            </w:r>
            <w:r>
              <w:rPr>
                <w:rFonts w:hint="eastAsia" w:ascii="宋体" w:hAnsi="宋体" w:cs="楷体_GB2312"/>
                <w:color w:val="auto"/>
                <w:sz w:val="24"/>
                <w:szCs w:val="24"/>
              </w:rPr>
              <w:t xml:space="preserve"> </w:t>
            </w:r>
            <w:r>
              <w:rPr>
                <w:rFonts w:hint="eastAsia" w:ascii="宋体" w:hAnsi="宋体" w:cs="楷体_GB2312"/>
                <w:color w:val="auto"/>
                <w:sz w:val="24"/>
                <w:szCs w:val="24"/>
                <w:lang w:eastAsia="zh-CN"/>
              </w:rPr>
              <w:t>，</w:t>
            </w:r>
            <w:r>
              <w:rPr>
                <w:rFonts w:hint="eastAsia" w:ascii="宋体" w:hAnsi="宋体" w:cs="楷体_GB2312"/>
                <w:color w:val="auto"/>
                <w:sz w:val="24"/>
                <w:szCs w:val="24"/>
              </w:rPr>
              <w:t xml:space="preserve">     </w:t>
            </w:r>
            <w:r>
              <w:rPr>
                <w:rFonts w:hint="eastAsia"/>
                <w:color w:val="auto"/>
                <w:sz w:val="24"/>
                <w:szCs w:val="24"/>
              </w:rPr>
              <w:t xml:space="preserve">        审核时间：20</w:t>
            </w:r>
            <w:r>
              <w:rPr>
                <w:rFonts w:hint="eastAsia"/>
                <w:color w:val="auto"/>
                <w:sz w:val="24"/>
                <w:szCs w:val="24"/>
                <w:lang w:val="en-US" w:eastAsia="zh-CN"/>
              </w:rPr>
              <w:t>22</w:t>
            </w:r>
            <w:r>
              <w:rPr>
                <w:rFonts w:hint="eastAsia"/>
                <w:color w:val="auto"/>
                <w:sz w:val="24"/>
                <w:szCs w:val="24"/>
              </w:rPr>
              <w:t>年</w:t>
            </w:r>
            <w:r>
              <w:rPr>
                <w:rFonts w:hint="eastAsia"/>
                <w:color w:val="auto"/>
                <w:sz w:val="24"/>
                <w:szCs w:val="24"/>
                <w:lang w:val="en-US" w:eastAsia="zh-CN"/>
              </w:rPr>
              <w:t>1</w:t>
            </w:r>
            <w:r>
              <w:rPr>
                <w:rFonts w:hint="eastAsia"/>
                <w:color w:val="auto"/>
                <w:sz w:val="24"/>
                <w:szCs w:val="24"/>
              </w:rPr>
              <w:t>月</w:t>
            </w:r>
            <w:r>
              <w:rPr>
                <w:rFonts w:hint="eastAsia"/>
                <w:color w:val="auto"/>
                <w:sz w:val="24"/>
                <w:szCs w:val="24"/>
                <w:lang w:val="en-US" w:eastAsia="zh-CN"/>
              </w:rPr>
              <w:t>1</w:t>
            </w:r>
            <w:r>
              <w:rPr>
                <w:rFonts w:hint="eastAsia"/>
                <w:color w:val="auto"/>
                <w:sz w:val="24"/>
                <w:szCs w:val="24"/>
              </w:rPr>
              <w:t>日</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szCs w:val="21"/>
              </w:rPr>
            </w:pPr>
          </w:p>
        </w:tc>
        <w:tc>
          <w:tcPr>
            <w:tcW w:w="992" w:type="dxa"/>
            <w:vMerge w:val="continue"/>
            <w:vAlign w:val="center"/>
          </w:tcPr>
          <w:p>
            <w:pPr>
              <w:rPr>
                <w:szCs w:val="21"/>
              </w:rPr>
            </w:pPr>
          </w:p>
        </w:tc>
        <w:tc>
          <w:tcPr>
            <w:tcW w:w="11198" w:type="dxa"/>
            <w:vAlign w:val="center"/>
          </w:tcPr>
          <w:p>
            <w:pPr>
              <w:rPr>
                <w:szCs w:val="21"/>
              </w:rPr>
            </w:pPr>
            <w:r>
              <w:rPr>
                <w:rFonts w:hint="eastAsia"/>
                <w:szCs w:val="21"/>
              </w:rPr>
              <w:t xml:space="preserve">审核条款：  </w:t>
            </w:r>
            <w:r>
              <w:rPr>
                <w:szCs w:val="21"/>
              </w:rPr>
              <w:t>EO:5.3/6.2/8.1</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color w:val="auto"/>
                <w:szCs w:val="21"/>
              </w:rPr>
            </w:pPr>
            <w:r>
              <w:rPr>
                <w:rFonts w:hint="eastAsia"/>
                <w:color w:val="auto"/>
                <w:szCs w:val="21"/>
              </w:rPr>
              <w:t>组织的角色、职责和权限</w:t>
            </w:r>
          </w:p>
          <w:p>
            <w:pPr>
              <w:rPr>
                <w:color w:val="auto"/>
                <w:szCs w:val="21"/>
              </w:rPr>
            </w:pPr>
            <w:r>
              <w:rPr>
                <w:color w:val="auto"/>
                <w:szCs w:val="21"/>
              </w:rPr>
              <w:t>工作人员的协商和参与</w:t>
            </w:r>
          </w:p>
        </w:tc>
        <w:tc>
          <w:tcPr>
            <w:tcW w:w="992" w:type="dxa"/>
          </w:tcPr>
          <w:p>
            <w:pPr>
              <w:rPr>
                <w:color w:val="auto"/>
                <w:szCs w:val="21"/>
              </w:rPr>
            </w:pPr>
            <w:r>
              <w:rPr>
                <w:color w:val="auto"/>
                <w:szCs w:val="21"/>
              </w:rPr>
              <w:t>EO:5.3</w:t>
            </w:r>
          </w:p>
        </w:tc>
        <w:tc>
          <w:tcPr>
            <w:tcW w:w="11198" w:type="dxa"/>
          </w:tcPr>
          <w:p>
            <w:pPr>
              <w:spacing w:line="400" w:lineRule="exact"/>
              <w:ind w:firstLine="420" w:firstLineChars="200"/>
              <w:rPr>
                <w:rFonts w:ascii="宋体" w:hAnsi="宋体" w:cs="楷体_GB2312"/>
                <w:color w:val="auto"/>
                <w:szCs w:val="21"/>
              </w:rPr>
            </w:pPr>
            <w:r>
              <w:rPr>
                <w:rFonts w:hint="eastAsia"/>
                <w:color w:val="auto"/>
                <w:szCs w:val="21"/>
                <w:lang w:val="en-US" w:eastAsia="zh-CN"/>
              </w:rPr>
              <w:t>李洪军</w:t>
            </w:r>
            <w:r>
              <w:rPr>
                <w:rFonts w:hint="eastAsia" w:ascii="宋体" w:hAnsi="宋体" w:cs="楷体_GB2312"/>
                <w:color w:val="auto"/>
                <w:szCs w:val="21"/>
              </w:rPr>
              <w:t>介绍： 部门有</w:t>
            </w:r>
            <w:r>
              <w:rPr>
                <w:rFonts w:hint="eastAsia" w:ascii="宋体" w:hAnsi="宋体" w:cs="楷体_GB2312"/>
                <w:color w:val="auto"/>
                <w:szCs w:val="21"/>
                <w:lang w:val="en-US" w:eastAsia="zh-CN"/>
              </w:rPr>
              <w:t>4</w:t>
            </w:r>
            <w:r>
              <w:rPr>
                <w:rFonts w:hint="eastAsia" w:ascii="宋体" w:hAnsi="宋体" w:cs="楷体_GB2312"/>
                <w:color w:val="auto"/>
                <w:szCs w:val="21"/>
              </w:rPr>
              <w:t>人组成，设</w:t>
            </w:r>
            <w:r>
              <w:rPr>
                <w:rFonts w:hint="eastAsia" w:ascii="宋体" w:hAnsi="宋体" w:cs="楷体_GB2312"/>
                <w:color w:val="auto"/>
                <w:szCs w:val="21"/>
                <w:lang w:val="en-US" w:eastAsia="zh-CN"/>
              </w:rPr>
              <w:t>经理</w:t>
            </w:r>
            <w:r>
              <w:rPr>
                <w:rFonts w:hint="eastAsia" w:ascii="宋体" w:hAnsi="宋体" w:cs="楷体_GB2312"/>
                <w:color w:val="auto"/>
                <w:szCs w:val="21"/>
              </w:rPr>
              <w:t>1人，</w:t>
            </w:r>
            <w:r>
              <w:rPr>
                <w:rFonts w:hint="eastAsia" w:ascii="宋体" w:hAnsi="宋体" w:cs="楷体_GB2312"/>
                <w:color w:val="auto"/>
                <w:szCs w:val="21"/>
                <w:lang w:val="en-US" w:eastAsia="zh-CN"/>
              </w:rPr>
              <w:t>副经理1人，</w:t>
            </w:r>
            <w:r>
              <w:rPr>
                <w:rFonts w:hint="eastAsia" w:ascii="宋体" w:hAnsi="宋体" w:cs="楷体_GB2312"/>
                <w:color w:val="auto"/>
                <w:szCs w:val="21"/>
              </w:rPr>
              <w:t>主管会计1人，出纳员1人等。体系运行中负责质量、环境及职业健康安全的管理体系的财务管理，如保证环境安全方面的资金投入等。职责分工明确，符合程序文件中规定的要求。</w:t>
            </w:r>
          </w:p>
          <w:p>
            <w:pPr>
              <w:spacing w:line="400" w:lineRule="exact"/>
              <w:ind w:firstLine="480"/>
              <w:rPr>
                <w:color w:val="auto"/>
                <w:szCs w:val="21"/>
              </w:rPr>
            </w:pPr>
            <w:r>
              <w:rPr>
                <w:rFonts w:hint="eastAsia" w:ascii="宋体" w:hAnsi="宋体" w:cs="楷体_GB2312"/>
                <w:color w:val="auto"/>
                <w:szCs w:val="21"/>
              </w:rPr>
              <w:t>询问</w:t>
            </w:r>
            <w:r>
              <w:rPr>
                <w:rFonts w:hint="eastAsia" w:ascii="宋体" w:hAnsi="宋体" w:cs="楷体_GB2312"/>
                <w:color w:val="auto"/>
                <w:szCs w:val="21"/>
                <w:lang w:val="en-US" w:eastAsia="zh-CN"/>
              </w:rPr>
              <w:t>财务经理李洪军</w:t>
            </w:r>
            <w:r>
              <w:rPr>
                <w:rFonts w:hint="eastAsia" w:ascii="宋体" w:hAnsi="宋体" w:cs="楷体_GB2312"/>
                <w:color w:val="auto"/>
                <w:szCs w:val="21"/>
              </w:rPr>
              <w:t>清楚本人及部门的职责与规定基本一致。部门之间沟通主要通过参加各类会议</w:t>
            </w:r>
            <w:r>
              <w:rPr>
                <w:rFonts w:hint="eastAsia"/>
                <w:color w:val="auto"/>
                <w:szCs w:val="21"/>
              </w:rPr>
              <w:t>、培训等方式进行。</w:t>
            </w:r>
          </w:p>
          <w:p>
            <w:pPr>
              <w:spacing w:line="400" w:lineRule="exact"/>
              <w:ind w:firstLine="480"/>
              <w:rPr>
                <w:color w:val="auto"/>
                <w:szCs w:val="21"/>
              </w:rPr>
            </w:pPr>
            <w:r>
              <w:rPr>
                <w:rFonts w:hint="eastAsia"/>
                <w:color w:val="auto"/>
                <w:szCs w:val="21"/>
              </w:rPr>
              <w:t>公司职业健康和安全管理体系员工代表</w:t>
            </w:r>
            <w:r>
              <w:rPr>
                <w:rFonts w:hint="eastAsia"/>
                <w:color w:val="auto"/>
                <w:szCs w:val="21"/>
                <w:lang w:val="en-US" w:eastAsia="zh-CN"/>
              </w:rPr>
              <w:t>李永佳</w:t>
            </w:r>
            <w:r>
              <w:rPr>
                <w:rFonts w:hint="eastAsia"/>
                <w:color w:val="auto"/>
                <w:szCs w:val="21"/>
              </w:rPr>
              <w:t>介绍，其</w:t>
            </w:r>
            <w:r>
              <w:rPr>
                <w:rFonts w:hint="eastAsia" w:ascii="宋体" w:hAnsi="宋体"/>
                <w:color w:val="auto"/>
                <w:kern w:val="0"/>
                <w:szCs w:val="21"/>
              </w:rPr>
              <w:t>参与公司职业健康安全事故的统计,报告和调查处理情况的监督、对本公司劳动保护执行情况进行监督,维护员工的合法权益、对改善员工的工作条件提出建议等。</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68" w:type="dxa"/>
          </w:tcPr>
          <w:p>
            <w:pPr>
              <w:rPr>
                <w:color w:val="auto"/>
                <w:szCs w:val="21"/>
              </w:rPr>
            </w:pPr>
            <w:r>
              <w:rPr>
                <w:rFonts w:hint="eastAsia"/>
                <w:color w:val="auto"/>
                <w:szCs w:val="21"/>
              </w:rPr>
              <w:t>目标及其实现策划</w:t>
            </w:r>
          </w:p>
        </w:tc>
        <w:tc>
          <w:tcPr>
            <w:tcW w:w="992" w:type="dxa"/>
          </w:tcPr>
          <w:p>
            <w:pPr>
              <w:rPr>
                <w:color w:val="auto"/>
                <w:szCs w:val="21"/>
              </w:rPr>
            </w:pPr>
            <w:r>
              <w:rPr>
                <w:color w:val="auto"/>
                <w:szCs w:val="21"/>
              </w:rPr>
              <w:t>EO:6.2</w:t>
            </w:r>
          </w:p>
        </w:tc>
        <w:tc>
          <w:tcPr>
            <w:tcW w:w="11198" w:type="dxa"/>
          </w:tcPr>
          <w:p>
            <w:pPr>
              <w:spacing w:line="400" w:lineRule="exact"/>
              <w:ind w:firstLine="420" w:firstLineChars="200"/>
              <w:rPr>
                <w:rFonts w:hint="eastAsia" w:ascii="宋体" w:hAnsi="宋体" w:cs="楷体_GB2312"/>
                <w:color w:val="auto"/>
                <w:szCs w:val="21"/>
              </w:rPr>
            </w:pPr>
            <w:r>
              <w:rPr>
                <w:rFonts w:hint="eastAsia" w:ascii="宋体" w:hAnsi="宋体" w:cs="楷体_GB2312"/>
                <w:color w:val="auto"/>
                <w:szCs w:val="21"/>
              </w:rPr>
              <w:t>该部门分解的管理目标如下：</w:t>
            </w:r>
          </w:p>
          <w:p>
            <w:pPr>
              <w:spacing w:line="400" w:lineRule="exact"/>
              <w:rPr>
                <w:rFonts w:hint="eastAsia" w:ascii="宋体" w:hAnsi="宋体"/>
                <w:color w:val="auto"/>
                <w:szCs w:val="21"/>
              </w:rPr>
            </w:pPr>
            <w:r>
              <w:rPr>
                <w:rFonts w:hint="eastAsia" w:ascii="宋体" w:hAnsi="宋体"/>
                <w:color w:val="auto"/>
                <w:szCs w:val="21"/>
              </w:rPr>
              <w:t>1.</w:t>
            </w:r>
            <w:r>
              <w:rPr>
                <w:rFonts w:hint="eastAsia" w:ascii="宋体" w:hAnsi="宋体" w:cs="宋体"/>
                <w:color w:val="auto"/>
                <w:sz w:val="21"/>
                <w:szCs w:val="21"/>
              </w:rPr>
              <w:t>质量、环境、职业健康安全资金到位率100%</w:t>
            </w:r>
          </w:p>
          <w:p>
            <w:pPr>
              <w:spacing w:line="280" w:lineRule="exact"/>
              <w:ind w:firstLine="420" w:firstLineChars="200"/>
              <w:rPr>
                <w:rFonts w:hint="eastAsia"/>
                <w:color w:val="auto"/>
                <w:szCs w:val="21"/>
              </w:rPr>
            </w:pPr>
            <w:r>
              <w:rPr>
                <w:rFonts w:hint="eastAsia"/>
                <w:color w:val="auto"/>
                <w:szCs w:val="21"/>
              </w:rPr>
              <w:t>目标均可量化可测量，目标分解合理，基本满足要求。</w:t>
            </w:r>
          </w:p>
          <w:p>
            <w:pPr>
              <w:spacing w:line="280" w:lineRule="exact"/>
              <w:ind w:firstLine="420" w:firstLineChars="200"/>
              <w:rPr>
                <w:rFonts w:hint="eastAsia"/>
                <w:color w:val="auto"/>
                <w:szCs w:val="21"/>
              </w:rPr>
            </w:pPr>
          </w:p>
          <w:p>
            <w:pPr>
              <w:ind w:firstLine="420" w:firstLineChars="200"/>
              <w:rPr>
                <w:color w:val="auto"/>
                <w:szCs w:val="21"/>
              </w:rPr>
            </w:pPr>
            <w:r>
              <w:rPr>
                <w:rFonts w:hint="eastAsia"/>
                <w:color w:val="auto"/>
                <w:szCs w:val="21"/>
              </w:rPr>
              <w:t>查最近一次</w:t>
            </w:r>
            <w:r>
              <w:rPr>
                <w:rFonts w:hint="eastAsia"/>
                <w:color w:val="auto"/>
                <w:szCs w:val="21"/>
                <w:lang w:val="en-US" w:eastAsia="zh-CN"/>
              </w:rPr>
              <w:t>2021年12月29日</w:t>
            </w:r>
            <w:r>
              <w:rPr>
                <w:rFonts w:hint="eastAsia"/>
                <w:color w:val="auto"/>
                <w:szCs w:val="21"/>
              </w:rPr>
              <w:t>统计考核，财务部管理目标均已完成。统计人：</w:t>
            </w:r>
            <w:r>
              <w:rPr>
                <w:rFonts w:hint="eastAsia"/>
                <w:color w:val="auto"/>
                <w:szCs w:val="21"/>
                <w:lang w:eastAsia="zh-CN"/>
              </w:rPr>
              <w:t>行政部</w:t>
            </w:r>
            <w:r>
              <w:rPr>
                <w:rFonts w:hint="eastAsia"/>
                <w:color w:val="auto"/>
                <w:szCs w:val="21"/>
              </w:rPr>
              <w:t>，审核人：</w:t>
            </w:r>
            <w:r>
              <w:rPr>
                <w:rFonts w:hint="eastAsia"/>
                <w:color w:val="auto"/>
                <w:szCs w:val="21"/>
                <w:lang w:val="en-US" w:eastAsia="zh-CN"/>
              </w:rPr>
              <w:t>李红军</w:t>
            </w:r>
            <w:r>
              <w:rPr>
                <w:rFonts w:hint="eastAsia"/>
                <w:color w:val="auto"/>
                <w:szCs w:val="21"/>
              </w:rPr>
              <w:t>。</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68" w:type="dxa"/>
          </w:tcPr>
          <w:p>
            <w:pPr>
              <w:rPr>
                <w:color w:val="auto"/>
                <w:szCs w:val="21"/>
              </w:rPr>
            </w:pPr>
            <w:r>
              <w:rPr>
                <w:color w:val="auto"/>
                <w:szCs w:val="21"/>
              </w:rPr>
              <w:t>运行策划和控制</w:t>
            </w:r>
          </w:p>
        </w:tc>
        <w:tc>
          <w:tcPr>
            <w:tcW w:w="992" w:type="dxa"/>
          </w:tcPr>
          <w:p>
            <w:pPr>
              <w:rPr>
                <w:color w:val="auto"/>
                <w:szCs w:val="21"/>
              </w:rPr>
            </w:pPr>
            <w:r>
              <w:rPr>
                <w:color w:val="auto"/>
                <w:szCs w:val="21"/>
              </w:rPr>
              <w:t>EO:8.1</w:t>
            </w:r>
          </w:p>
        </w:tc>
        <w:tc>
          <w:tcPr>
            <w:tcW w:w="11198" w:type="dxa"/>
          </w:tcPr>
          <w:p>
            <w:pPr>
              <w:spacing w:line="400" w:lineRule="exact"/>
              <w:ind w:firstLine="420" w:firstLineChars="200"/>
              <w:rPr>
                <w:rFonts w:ascii="宋体" w:hAnsi="宋体" w:cs="楷体_GB2312"/>
                <w:color w:val="auto"/>
                <w:szCs w:val="21"/>
              </w:rPr>
            </w:pPr>
            <w:r>
              <w:rPr>
                <w:rFonts w:hint="eastAsia" w:ascii="宋体" w:hAnsi="宋体" w:cs="楷体_GB2312"/>
                <w:color w:val="auto"/>
                <w:szCs w:val="21"/>
              </w:rPr>
              <w:t>财务部门办公使用的废硒鼓、墨盒等均交给公司统一处理，统一由行政部负责控制处理。</w:t>
            </w:r>
          </w:p>
          <w:p>
            <w:pPr>
              <w:spacing w:line="400" w:lineRule="exact"/>
              <w:ind w:firstLine="420" w:firstLineChars="200"/>
              <w:rPr>
                <w:rFonts w:ascii="宋体" w:hAnsi="宋体" w:cs="楷体_GB2312"/>
                <w:color w:val="auto"/>
                <w:szCs w:val="21"/>
              </w:rPr>
            </w:pPr>
            <w:r>
              <w:rPr>
                <w:rFonts w:hint="eastAsia" w:ascii="宋体" w:hAnsi="宋体" w:cs="楷体_GB2312"/>
                <w:color w:val="auto"/>
                <w:szCs w:val="21"/>
              </w:rPr>
              <w:t>办公用水做到不长流水，发现漏水及时修理。</w:t>
            </w:r>
          </w:p>
          <w:p>
            <w:pPr>
              <w:spacing w:line="400" w:lineRule="exact"/>
              <w:ind w:firstLine="420" w:firstLineChars="200"/>
              <w:rPr>
                <w:rFonts w:ascii="宋体" w:hAnsi="宋体" w:cs="楷体_GB2312"/>
                <w:color w:val="auto"/>
                <w:szCs w:val="21"/>
              </w:rPr>
            </w:pPr>
            <w:r>
              <w:rPr>
                <w:rFonts w:hint="eastAsia" w:ascii="宋体" w:hAnsi="宋体" w:cs="楷体_GB2312"/>
                <w:color w:val="auto"/>
                <w:szCs w:val="21"/>
              </w:rPr>
              <w:t>办公用电做到人走灯灭，不用电脑等办公设备时拔掉插座。</w:t>
            </w:r>
          </w:p>
          <w:p>
            <w:pPr>
              <w:spacing w:line="400" w:lineRule="exact"/>
              <w:ind w:firstLine="420" w:firstLineChars="200"/>
              <w:rPr>
                <w:rFonts w:ascii="宋体" w:hAnsi="宋体" w:cs="楷体_GB2312"/>
                <w:color w:val="auto"/>
                <w:szCs w:val="21"/>
              </w:rPr>
            </w:pPr>
            <w:r>
              <w:rPr>
                <w:rFonts w:hint="eastAsia" w:ascii="宋体" w:hAnsi="宋体" w:cs="楷体_GB2312"/>
                <w:color w:val="auto"/>
                <w:szCs w:val="21"/>
              </w:rPr>
              <w:t>办公用纸张做到尽可能两面使用，废纸统一回收处理。</w:t>
            </w:r>
          </w:p>
          <w:p>
            <w:pPr>
              <w:spacing w:line="400" w:lineRule="exact"/>
              <w:ind w:firstLine="420" w:firstLineChars="200"/>
              <w:rPr>
                <w:rFonts w:ascii="宋体" w:hAnsi="宋体" w:cs="楷体_GB2312"/>
                <w:color w:val="auto"/>
                <w:szCs w:val="21"/>
              </w:rPr>
            </w:pPr>
            <w:r>
              <w:rPr>
                <w:rFonts w:hint="eastAsia" w:ascii="宋体" w:hAnsi="宋体" w:cs="楷体_GB2312"/>
                <w:color w:val="auto"/>
                <w:szCs w:val="21"/>
              </w:rPr>
              <w:t>财务室按有防盗门，不存放现金。公司办公区域均有保安人员昼夜值班。</w:t>
            </w:r>
          </w:p>
          <w:p>
            <w:pPr>
              <w:spacing w:line="400" w:lineRule="exact"/>
              <w:ind w:firstLine="420" w:firstLineChars="200"/>
              <w:rPr>
                <w:rFonts w:ascii="宋体" w:hAnsi="宋体" w:cs="楷体_GB2312"/>
                <w:color w:val="auto"/>
                <w:szCs w:val="21"/>
              </w:rPr>
            </w:pPr>
            <w:r>
              <w:rPr>
                <w:rFonts w:hint="eastAsia" w:ascii="宋体" w:hAnsi="宋体" w:cs="楷体_GB2312"/>
                <w:color w:val="auto"/>
                <w:szCs w:val="21"/>
              </w:rPr>
              <w:t>经了解，20</w:t>
            </w:r>
            <w:r>
              <w:rPr>
                <w:rFonts w:hint="eastAsia" w:ascii="宋体" w:hAnsi="宋体" w:cs="楷体_GB2312"/>
                <w:color w:val="auto"/>
                <w:szCs w:val="21"/>
                <w:lang w:val="en-US" w:eastAsia="zh-CN"/>
              </w:rPr>
              <w:t>21</w:t>
            </w:r>
            <w:r>
              <w:rPr>
                <w:rFonts w:hint="eastAsia" w:ascii="宋体" w:hAnsi="宋体" w:cs="楷体_GB2312"/>
                <w:color w:val="auto"/>
                <w:szCs w:val="21"/>
              </w:rPr>
              <w:t>年1月-至</w:t>
            </w:r>
            <w:r>
              <w:rPr>
                <w:rFonts w:hint="eastAsia" w:ascii="宋体" w:hAnsi="宋体" w:eastAsia="宋体" w:cs="楷体_GB2312"/>
                <w:color w:val="auto"/>
                <w:szCs w:val="21"/>
              </w:rPr>
              <w:t xml:space="preserve">今，共投入资金 </w:t>
            </w:r>
            <w:r>
              <w:rPr>
                <w:rFonts w:hint="eastAsia" w:ascii="宋体" w:hAnsi="宋体" w:eastAsia="宋体" w:cs="楷体_GB2312"/>
                <w:color w:val="auto"/>
                <w:szCs w:val="21"/>
                <w:lang w:val="en-US" w:eastAsia="zh-CN"/>
              </w:rPr>
              <w:t>23300</w:t>
            </w:r>
            <w:r>
              <w:rPr>
                <w:rFonts w:hint="eastAsia" w:ascii="宋体" w:hAnsi="宋体" w:eastAsia="宋体" w:cs="楷体_GB2312"/>
                <w:color w:val="auto"/>
                <w:szCs w:val="21"/>
              </w:rPr>
              <w:t>元。其中包括员</w:t>
            </w:r>
            <w:r>
              <w:rPr>
                <w:rFonts w:hint="eastAsia" w:ascii="宋体" w:hAnsi="宋体" w:cs="楷体_GB2312"/>
                <w:color w:val="auto"/>
                <w:szCs w:val="21"/>
              </w:rPr>
              <w:t>工职业健康</w:t>
            </w:r>
            <w:r>
              <w:rPr>
                <w:rFonts w:hint="eastAsia" w:ascii="宋体" w:hAnsi="宋体" w:cs="楷体_GB2312"/>
                <w:color w:val="auto"/>
                <w:szCs w:val="21"/>
                <w:lang w:val="en-US" w:eastAsia="zh-CN"/>
              </w:rPr>
              <w:t>及安全资金投入：如中暑伤害、高坠及物体打击伤害、触电伤害；环境保护资金投入：如潜在火灾、固液气“三废”处理等</w:t>
            </w:r>
            <w:r>
              <w:rPr>
                <w:rFonts w:hint="eastAsia" w:ascii="宋体" w:hAnsi="宋体" w:cs="楷体_GB2312"/>
                <w:color w:val="auto"/>
                <w:szCs w:val="21"/>
              </w:rPr>
              <w:t xml:space="preserve">。基本满足需要。见附件 </w:t>
            </w:r>
          </w:p>
          <w:p>
            <w:pPr>
              <w:spacing w:line="400" w:lineRule="exact"/>
              <w:ind w:firstLine="420" w:firstLineChars="200"/>
              <w:rPr>
                <w:rFonts w:ascii="宋体" w:hAnsi="宋体" w:cs="楷体_GB2312"/>
                <w:color w:val="auto"/>
                <w:szCs w:val="21"/>
              </w:rPr>
            </w:pPr>
            <w:r>
              <w:rPr>
                <w:rFonts w:hint="eastAsia" w:ascii="宋体" w:hAnsi="宋体" w:cs="楷体_GB2312"/>
                <w:color w:val="auto"/>
                <w:szCs w:val="21"/>
              </w:rPr>
              <w:t>介绍：财务人员参加了公司组织的消防演练，均接受过培训，知晓灭火器使用和各种火情的灭火方法，了解了公司安全通道位置及发生火灾时的处理过程。</w:t>
            </w:r>
          </w:p>
          <w:p>
            <w:pPr>
              <w:rPr>
                <w:color w:val="auto"/>
                <w:szCs w:val="21"/>
              </w:rPr>
            </w:pPr>
            <w:r>
              <w:rPr>
                <w:rFonts w:hint="eastAsia" w:ascii="宋体" w:hAnsi="宋体" w:cs="楷体_GB2312"/>
                <w:color w:val="auto"/>
                <w:szCs w:val="21"/>
              </w:rPr>
              <w:t>参加了公司防止高空坠落演练，提高了财务人员的安全意识。</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68" w:type="dxa"/>
            <w:vAlign w:val="top"/>
          </w:tcPr>
          <w:p>
            <w:pPr>
              <w:rPr>
                <w:color w:val="auto"/>
                <w:szCs w:val="21"/>
              </w:rPr>
            </w:pPr>
            <w:r>
              <w:rPr>
                <w:rFonts w:hint="eastAsia" w:ascii="宋体" w:hAnsi="宋体" w:cs="宋体"/>
                <w:color w:val="auto"/>
                <w:szCs w:val="21"/>
              </w:rPr>
              <w:t>应急准备和响应</w:t>
            </w:r>
          </w:p>
        </w:tc>
        <w:tc>
          <w:tcPr>
            <w:tcW w:w="992" w:type="dxa"/>
            <w:vAlign w:val="top"/>
          </w:tcPr>
          <w:p>
            <w:pPr>
              <w:rPr>
                <w:rFonts w:ascii="宋体" w:hAnsi="宋体" w:cs="宋体"/>
                <w:color w:val="auto"/>
                <w:szCs w:val="21"/>
              </w:rPr>
            </w:pPr>
            <w:r>
              <w:rPr>
                <w:rFonts w:hint="eastAsia" w:ascii="宋体" w:hAnsi="宋体" w:cs="宋体"/>
                <w:color w:val="auto"/>
                <w:szCs w:val="21"/>
                <w:lang w:eastAsia="zh-CN"/>
              </w:rPr>
              <w:t>EO</w:t>
            </w:r>
            <w:r>
              <w:rPr>
                <w:rFonts w:ascii="宋体" w:hAnsi="宋体" w:cs="宋体"/>
                <w:color w:val="auto"/>
                <w:szCs w:val="21"/>
              </w:rPr>
              <w:t>8.2</w:t>
            </w:r>
          </w:p>
          <w:p>
            <w:pPr>
              <w:rPr>
                <w:color w:val="auto"/>
                <w:szCs w:val="21"/>
              </w:rPr>
            </w:pPr>
          </w:p>
        </w:tc>
        <w:tc>
          <w:tcPr>
            <w:tcW w:w="11198" w:type="dxa"/>
            <w:vAlign w:val="top"/>
          </w:tcPr>
          <w:p>
            <w:pPr>
              <w:spacing w:line="360" w:lineRule="auto"/>
              <w:ind w:firstLine="230" w:firstLineChars="100"/>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GB" w:eastAsia="zh-CN" w:bidi="ar-SA"/>
              </w:rPr>
              <w:t>制</w:t>
            </w:r>
            <w:r>
              <w:rPr>
                <w:rFonts w:hint="eastAsia" w:ascii="宋体" w:hAnsi="宋体" w:eastAsia="宋体" w:cs="宋体"/>
                <w:bCs/>
                <w:color w:val="auto"/>
                <w:spacing w:val="10"/>
                <w:kern w:val="2"/>
                <w:sz w:val="21"/>
                <w:szCs w:val="21"/>
                <w:lang w:val="en-US" w:eastAsia="zh-CN" w:bidi="ar-SA"/>
              </w:rPr>
              <w:t>定了《应急准备和响应控制程序》，包含有事件级别及不同级别事件的处理程序、事件处理组织机构及职责分工、通用及特殊处理程序、各岗位要求等。具有可操作性。</w:t>
            </w:r>
          </w:p>
          <w:p>
            <w:pPr>
              <w:spacing w:line="360" w:lineRule="auto"/>
              <w:ind w:firstLine="230" w:firstLineChars="100"/>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 xml:space="preserve">同时见《安全事故应急预案》文件，文件编号：ZKZX-C-04，编制：行政部 ，审核：李红军 ，批准：杨剑，版本A/0，2021年1月12日发布并实施，具体适用发生火灾、触电时的响应。    </w:t>
            </w:r>
          </w:p>
          <w:p>
            <w:pPr>
              <w:pStyle w:val="11"/>
              <w:spacing w:line="360" w:lineRule="auto"/>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抽查：公司应急演练计划：为提高各组负责人的责任心，加强员工的安全逃生意识,公司定于2021年6月17日下午在公司空坝举行消防演习。</w:t>
            </w:r>
          </w:p>
          <w:p>
            <w:pPr>
              <w:pStyle w:val="11"/>
              <w:spacing w:line="360" w:lineRule="auto"/>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查见：消防演练实况记录。演习地点：公司附近的安全地带。演习时间：2021年6月17日下午。演习过程：防火、逃生和灭火器的使用培训；发现火警、报警并紧急疏散人员；处置火情等。</w:t>
            </w:r>
          </w:p>
          <w:p>
            <w:pPr>
              <w:spacing w:line="360" w:lineRule="auto"/>
              <w:ind w:firstLine="230" w:firstLineChars="100"/>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演练的效果：从整个演练过程看：整个演练按照预定的计划进展，达到预定的演练目的。</w:t>
            </w:r>
          </w:p>
          <w:p>
            <w:pPr>
              <w:spacing w:line="360" w:lineRule="auto"/>
              <w:ind w:firstLine="230" w:firstLineChars="100"/>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组织参加演习人员对应急预案和演习情况进行了评审，评审未引起文件的更改。</w:t>
            </w:r>
          </w:p>
          <w:p>
            <w:pPr>
              <w:spacing w:line="360" w:lineRule="auto"/>
              <w:ind w:firstLine="230" w:firstLineChars="100"/>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评价人员：杨剑 李红军 江锋 熊海英等，应急准备和响应实施方案具有可操作性，应急求援人员已基本掌握该方案，能够应付火灾的突发事件，评价日期：2021年6月18日</w:t>
            </w:r>
          </w:p>
          <w:p>
            <w:pPr>
              <w:pStyle w:val="11"/>
              <w:spacing w:line="360" w:lineRule="auto"/>
              <w:rPr>
                <w:rFonts w:hint="default"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另查：公司于2021年5月18日进行了触电应急演练，提供有演练记录及评审记录。公司制定的应急预案和响应措施内容全面、切实可行，能满足公司办公现场的应急响应要求，将继续予以执行，近期不作修改。</w:t>
            </w:r>
          </w:p>
          <w:p>
            <w:pPr>
              <w:pStyle w:val="11"/>
              <w:spacing w:line="360" w:lineRule="auto"/>
              <w:rPr>
                <w:rFonts w:hint="eastAsia" w:ascii="宋体" w:hAnsi="宋体" w:cs="楷体_GB2312"/>
                <w:color w:val="auto"/>
                <w:szCs w:val="21"/>
              </w:rPr>
            </w:pPr>
            <w:r>
              <w:rPr>
                <w:rFonts w:hint="eastAsia" w:ascii="宋体" w:hAnsi="宋体" w:eastAsia="宋体" w:cs="宋体"/>
                <w:bCs/>
                <w:color w:val="auto"/>
                <w:spacing w:val="10"/>
                <w:kern w:val="2"/>
                <w:sz w:val="21"/>
                <w:szCs w:val="21"/>
                <w:lang w:val="en-US" w:eastAsia="zh-CN" w:bidi="ar-SA"/>
              </w:rPr>
              <w:t>查应急准备：在公司办公区域，按要求配置灭火器。</w:t>
            </w:r>
          </w:p>
        </w:tc>
        <w:tc>
          <w:tcPr>
            <w:tcW w:w="851" w:type="dxa"/>
          </w:tcPr>
          <w:p>
            <w:pPr>
              <w:rPr>
                <w:color w:val="auto"/>
                <w:szCs w:val="21"/>
              </w:rPr>
            </w:pPr>
          </w:p>
        </w:tc>
      </w:tr>
    </w:tbl>
    <w:p>
      <w:r>
        <w:ptab w:relativeTo="margin" w:alignment="center" w:leader="none"/>
      </w:r>
    </w:p>
    <w:p>
      <w:pPr>
        <w:pStyle w:val="4"/>
      </w:pPr>
      <w:r>
        <w:rPr>
          <w:rFonts w:hint="eastAsia"/>
        </w:rPr>
        <w:t>说明：不符合标注N</w:t>
      </w: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-24130</wp:posOffset>
          </wp:positionH>
          <wp:positionV relativeFrom="paragraph">
            <wp:posOffset>33020</wp:posOffset>
          </wp:positionV>
          <wp:extent cx="485775" cy="485775"/>
          <wp:effectExtent l="0" t="0" r="9525" b="9525"/>
          <wp:wrapTopAndBottom/>
          <wp:docPr id="1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管理体系审核记录表(03版)</w:t>
                </w:r>
              </w:p>
            </w:txbxContent>
          </v:textbox>
        </v:shape>
      </w:pict>
    </w:r>
    <w:r>
      <w:rPr>
        <w:rStyle w:val="15"/>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A40ABE69"/>
    <w:multiLevelType w:val="singleLevel"/>
    <w:tmpl w:val="A40ABE69"/>
    <w:lvl w:ilvl="0" w:tentative="0">
      <w:start w:val="1"/>
      <w:numFmt w:val="decimal"/>
      <w:lvlText w:val="%1."/>
      <w:lvlJc w:val="left"/>
      <w:pPr>
        <w:tabs>
          <w:tab w:val="left" w:pos="312"/>
        </w:tabs>
      </w:pPr>
    </w:lvl>
  </w:abstractNum>
  <w:abstractNum w:abstractNumId="2">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2D67"/>
    <w:rsid w:val="00017C56"/>
    <w:rsid w:val="000237F6"/>
    <w:rsid w:val="00025763"/>
    <w:rsid w:val="0003373A"/>
    <w:rsid w:val="000400E2"/>
    <w:rsid w:val="00051B3A"/>
    <w:rsid w:val="00062E46"/>
    <w:rsid w:val="000D661B"/>
    <w:rsid w:val="00117733"/>
    <w:rsid w:val="00135EE5"/>
    <w:rsid w:val="001752AF"/>
    <w:rsid w:val="001970C8"/>
    <w:rsid w:val="001A2D7F"/>
    <w:rsid w:val="001D21C7"/>
    <w:rsid w:val="0028365D"/>
    <w:rsid w:val="00287ADF"/>
    <w:rsid w:val="002939AD"/>
    <w:rsid w:val="00297707"/>
    <w:rsid w:val="002B3219"/>
    <w:rsid w:val="002F4E87"/>
    <w:rsid w:val="00320BAA"/>
    <w:rsid w:val="00325A15"/>
    <w:rsid w:val="00337922"/>
    <w:rsid w:val="00340867"/>
    <w:rsid w:val="00344347"/>
    <w:rsid w:val="00347951"/>
    <w:rsid w:val="00363548"/>
    <w:rsid w:val="00380837"/>
    <w:rsid w:val="003A198A"/>
    <w:rsid w:val="003E1D94"/>
    <w:rsid w:val="00410914"/>
    <w:rsid w:val="00432F22"/>
    <w:rsid w:val="00434F73"/>
    <w:rsid w:val="0043541E"/>
    <w:rsid w:val="00437F81"/>
    <w:rsid w:val="004465F9"/>
    <w:rsid w:val="004C56CD"/>
    <w:rsid w:val="004E6543"/>
    <w:rsid w:val="00536930"/>
    <w:rsid w:val="00560D9A"/>
    <w:rsid w:val="00564E53"/>
    <w:rsid w:val="005D5659"/>
    <w:rsid w:val="00600C20"/>
    <w:rsid w:val="006369BD"/>
    <w:rsid w:val="00644FE2"/>
    <w:rsid w:val="0067640C"/>
    <w:rsid w:val="00695DF4"/>
    <w:rsid w:val="006E678B"/>
    <w:rsid w:val="006F455F"/>
    <w:rsid w:val="0070230A"/>
    <w:rsid w:val="00705BE1"/>
    <w:rsid w:val="00740AB1"/>
    <w:rsid w:val="007757F3"/>
    <w:rsid w:val="00780F4E"/>
    <w:rsid w:val="007B5A6B"/>
    <w:rsid w:val="007D13F1"/>
    <w:rsid w:val="007D6220"/>
    <w:rsid w:val="007E6AEB"/>
    <w:rsid w:val="00814CF6"/>
    <w:rsid w:val="00816857"/>
    <w:rsid w:val="00816AA0"/>
    <w:rsid w:val="008451E0"/>
    <w:rsid w:val="008973EE"/>
    <w:rsid w:val="008B73BF"/>
    <w:rsid w:val="009235B2"/>
    <w:rsid w:val="00963E53"/>
    <w:rsid w:val="00971600"/>
    <w:rsid w:val="009973B4"/>
    <w:rsid w:val="009C28C1"/>
    <w:rsid w:val="009C4418"/>
    <w:rsid w:val="009F7EED"/>
    <w:rsid w:val="00A74475"/>
    <w:rsid w:val="00A80636"/>
    <w:rsid w:val="00A87F9D"/>
    <w:rsid w:val="00AA734E"/>
    <w:rsid w:val="00AB5880"/>
    <w:rsid w:val="00AE0EA7"/>
    <w:rsid w:val="00AF0AAB"/>
    <w:rsid w:val="00B04CAE"/>
    <w:rsid w:val="00B409ED"/>
    <w:rsid w:val="00B43212"/>
    <w:rsid w:val="00B57D20"/>
    <w:rsid w:val="00B7599B"/>
    <w:rsid w:val="00B8119E"/>
    <w:rsid w:val="00BB3F77"/>
    <w:rsid w:val="00BD2197"/>
    <w:rsid w:val="00BF597E"/>
    <w:rsid w:val="00C45943"/>
    <w:rsid w:val="00C51A36"/>
    <w:rsid w:val="00C55228"/>
    <w:rsid w:val="00C85F06"/>
    <w:rsid w:val="00CE315A"/>
    <w:rsid w:val="00CF459F"/>
    <w:rsid w:val="00CF734F"/>
    <w:rsid w:val="00D031E0"/>
    <w:rsid w:val="00D06F59"/>
    <w:rsid w:val="00D251F5"/>
    <w:rsid w:val="00D45A90"/>
    <w:rsid w:val="00D607AE"/>
    <w:rsid w:val="00D63D57"/>
    <w:rsid w:val="00D8388C"/>
    <w:rsid w:val="00DF533A"/>
    <w:rsid w:val="00E14B4F"/>
    <w:rsid w:val="00E273AF"/>
    <w:rsid w:val="00E6224C"/>
    <w:rsid w:val="00EB0164"/>
    <w:rsid w:val="00EC558B"/>
    <w:rsid w:val="00ED0F62"/>
    <w:rsid w:val="00ED2FEA"/>
    <w:rsid w:val="00EE3FBA"/>
    <w:rsid w:val="00F217A9"/>
    <w:rsid w:val="00F44D3E"/>
    <w:rsid w:val="00FA61F4"/>
    <w:rsid w:val="00FA6719"/>
    <w:rsid w:val="00FB083B"/>
    <w:rsid w:val="00FC38C7"/>
    <w:rsid w:val="00FD52C3"/>
    <w:rsid w:val="00FD69CC"/>
    <w:rsid w:val="03995B24"/>
    <w:rsid w:val="040668D4"/>
    <w:rsid w:val="090B18AE"/>
    <w:rsid w:val="09595135"/>
    <w:rsid w:val="09DE3EC9"/>
    <w:rsid w:val="0A1870B2"/>
    <w:rsid w:val="103321B3"/>
    <w:rsid w:val="108219C2"/>
    <w:rsid w:val="142866AF"/>
    <w:rsid w:val="14524026"/>
    <w:rsid w:val="14934452"/>
    <w:rsid w:val="178971DD"/>
    <w:rsid w:val="1820213C"/>
    <w:rsid w:val="1AF26BB7"/>
    <w:rsid w:val="1D7B74B9"/>
    <w:rsid w:val="1E8F6D3A"/>
    <w:rsid w:val="1E96628A"/>
    <w:rsid w:val="1F100D66"/>
    <w:rsid w:val="248D10AB"/>
    <w:rsid w:val="251678F2"/>
    <w:rsid w:val="25227A45"/>
    <w:rsid w:val="266A0764"/>
    <w:rsid w:val="271C319D"/>
    <w:rsid w:val="271F21C4"/>
    <w:rsid w:val="2727037F"/>
    <w:rsid w:val="294361DC"/>
    <w:rsid w:val="294A264B"/>
    <w:rsid w:val="2D6906ED"/>
    <w:rsid w:val="34930017"/>
    <w:rsid w:val="34BC39A3"/>
    <w:rsid w:val="34C44C99"/>
    <w:rsid w:val="35D94948"/>
    <w:rsid w:val="372C6501"/>
    <w:rsid w:val="3A8E2023"/>
    <w:rsid w:val="43A805B8"/>
    <w:rsid w:val="48F54290"/>
    <w:rsid w:val="4DFC667B"/>
    <w:rsid w:val="4E056A63"/>
    <w:rsid w:val="4E7B77EC"/>
    <w:rsid w:val="53A45945"/>
    <w:rsid w:val="543F741C"/>
    <w:rsid w:val="55A34E57"/>
    <w:rsid w:val="56203BFD"/>
    <w:rsid w:val="58EE0F58"/>
    <w:rsid w:val="5EA12B9A"/>
    <w:rsid w:val="634B4713"/>
    <w:rsid w:val="64A510F1"/>
    <w:rsid w:val="68520182"/>
    <w:rsid w:val="692F665A"/>
    <w:rsid w:val="6B166CD1"/>
    <w:rsid w:val="6C07661A"/>
    <w:rsid w:val="717427AD"/>
    <w:rsid w:val="731C63E7"/>
    <w:rsid w:val="733C24B4"/>
    <w:rsid w:val="74D40C06"/>
    <w:rsid w:val="75163803"/>
    <w:rsid w:val="76B43AA2"/>
    <w:rsid w:val="79B511C2"/>
    <w:rsid w:val="7BD11077"/>
    <w:rsid w:val="7C4576E9"/>
    <w:rsid w:val="7F3745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character" w:styleId="9">
    <w:name w:val="page number"/>
    <w:basedOn w:val="8"/>
    <w:qFormat/>
    <w:uiPriority w:val="0"/>
  </w:style>
  <w:style w:type="character" w:styleId="10">
    <w:name w:val="Hyperlink"/>
    <w:basedOn w:val="8"/>
    <w:semiHidden/>
    <w:unhideWhenUsed/>
    <w:qFormat/>
    <w:uiPriority w:val="99"/>
    <w:rPr>
      <w:color w:val="0000FF"/>
      <w:u w:val="single"/>
    </w:rPr>
  </w:style>
  <w:style w:type="paragraph" w:customStyle="1" w:styleId="11">
    <w:name w:val="表格文字"/>
    <w:basedOn w:val="1"/>
    <w:qFormat/>
    <w:uiPriority w:val="0"/>
    <w:pPr>
      <w:spacing w:before="25" w:after="25"/>
    </w:pPr>
    <w:rPr>
      <w:rFonts w:ascii="Calibri" w:hAnsi="Calibri"/>
      <w:bCs/>
      <w:spacing w:val="10"/>
      <w:sz w:val="24"/>
    </w:rPr>
  </w:style>
  <w:style w:type="character" w:customStyle="1" w:styleId="12">
    <w:name w:val="页眉 Char"/>
    <w:basedOn w:val="8"/>
    <w:link w:val="5"/>
    <w:qFormat/>
    <w:uiPriority w:val="0"/>
    <w:rPr>
      <w:rFonts w:ascii="Times New Roman" w:hAnsi="Times New Roman" w:eastAsia="宋体" w:cs="Times New Roman"/>
      <w:sz w:val="18"/>
      <w:szCs w:val="18"/>
    </w:rPr>
  </w:style>
  <w:style w:type="character" w:customStyle="1" w:styleId="13">
    <w:name w:val="页脚 Char"/>
    <w:basedOn w:val="8"/>
    <w:link w:val="4"/>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1037</Words>
  <Characters>5916</Characters>
  <Lines>49</Lines>
  <Paragraphs>13</Paragraphs>
  <TotalTime>3</TotalTime>
  <ScaleCrop>false</ScaleCrop>
  <LinksUpToDate>false</LinksUpToDate>
  <CharactersWithSpaces>6940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2019-07-20T03:13:00Z</dcterms:created>
  <dc:creator>微软用户</dc:creator>
  <cp:lastModifiedBy>李凤仪</cp:lastModifiedBy>
  <dcterms:modified xsi:type="dcterms:W3CDTF">2022-04-02T22:05:16Z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6C670149CCAA420AB9C5F1FD7AAC33C8</vt:lpwstr>
  </property>
</Properties>
</file>