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pPr w:leftFromText="180" w:rightFromText="180" w:vertAnchor="text" w:horzAnchor="page" w:tblpX="1078" w:tblpY="22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8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78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/>
                <w:szCs w:val="21"/>
                <w:lang w:val="en-US" w:eastAsia="zh-CN"/>
              </w:rPr>
              <w:t>物业管理部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主管领导：</w:t>
            </w:r>
            <w:r>
              <w:rPr>
                <w:rFonts w:hint="eastAsia"/>
                <w:szCs w:val="21"/>
                <w:lang w:eastAsia="zh-CN"/>
              </w:rPr>
              <w:t>李志民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hint="eastAsia"/>
                <w:szCs w:val="21"/>
                <w:lang w:val="en-US" w:eastAsia="zh-CN"/>
              </w:rPr>
              <w:t>汪锦云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88" w:type="dxa"/>
            <w:vAlign w:val="center"/>
          </w:tcPr>
          <w:p>
            <w:pPr>
              <w:spacing w:before="1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审核员：周涛、</w:t>
            </w:r>
            <w:r>
              <w:rPr>
                <w:rFonts w:hint="eastAsia"/>
                <w:szCs w:val="21"/>
                <w:lang w:val="en-US" w:eastAsia="zh-CN"/>
              </w:rPr>
              <w:t>安涛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>2021.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80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7.4信息交流、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8.2、设计、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0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组织的岗位、职责和权限、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5.3 </w:t>
            </w:r>
          </w:p>
        </w:tc>
        <w:tc>
          <w:tcPr>
            <w:tcW w:w="1078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eastAsia="zh-CN"/>
              </w:rPr>
              <w:t>李志民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业务部</w:t>
            </w:r>
            <w:r>
              <w:rPr>
                <w:rFonts w:hint="eastAsia"/>
                <w:szCs w:val="21"/>
              </w:rPr>
              <w:t>职责：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—负责适用法规和技术标准的收集和分发控制；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—负责能源管理涉及的各类文件、记录的控制。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</w:rPr>
              <w:t>—负责制定能源管理方案、监督能源管理活动。</w:t>
            </w:r>
          </w:p>
        </w:tc>
        <w:tc>
          <w:tcPr>
            <w:tcW w:w="801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目标、能源指及其实现的策划、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6.2 </w:t>
            </w:r>
          </w:p>
        </w:tc>
        <w:tc>
          <w:tcPr>
            <w:tcW w:w="10788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业务部没有制定本部门的能源目标，执行公司的目标。</w:t>
            </w:r>
          </w:p>
        </w:tc>
        <w:tc>
          <w:tcPr>
            <w:tcW w:w="801" w:type="dxa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信息交流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7.4</w:t>
            </w:r>
          </w:p>
        </w:tc>
        <w:tc>
          <w:tcPr>
            <w:tcW w:w="10788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策划编制有《信息沟通、交流控制程序》，内容规定了公司内部、外部相关信息及时、准确、快捷接收、传递和处理的程序。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公司与地方政府、供应方、顾客等相关方保持了密切的沟通与交流，获取接收国家及地方政府的法律法规；参加政府节能相关会议、接收政府清洁生产及节能降耗检查、走访顾客和供应方等。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公司内部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有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（节能）例会制度，每周召开（节能）例会不少于一次。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抽查2021年4月份共召开4次生产（节能）例会，抽查2021.0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5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.19“（节能）例会记录”，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主持人：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周明奎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（公司总经理）    参加会议有：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王月兰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（公司总经理）以及各部门负责人共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6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人。会议内容通报了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近期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安全、环保、能耗、收率、成本等状况。提出了本周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工作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 xml:space="preserve">安排、经营绩效以及需要解决的几项问题等等，并对每项问题确定主管部门及负责人，完成时间。  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公司内外部信息沟通保持畅通。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出示公司202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年节能周活动策划安排PPT,  节能活动主题：  绿水青山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、绿色家园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，节能降效印刷节能知识宣传卡片1000份，发放至全体员工及供应方、客户、周边企业等相关方，通过开展活动，增强了广大员工节能意识。</w:t>
            </w:r>
          </w:p>
        </w:tc>
        <w:tc>
          <w:tcPr>
            <w:tcW w:w="801" w:type="dxa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160" w:type="dxa"/>
          </w:tcPr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788" w:type="dxa"/>
          </w:tcPr>
          <w:p>
            <w:pPr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经检查，公司近期没有能源设计开发项目。</w:t>
            </w:r>
          </w:p>
        </w:tc>
        <w:tc>
          <w:tcPr>
            <w:tcW w:w="801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160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不符合与纠正措施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10.1 </w:t>
            </w:r>
          </w:p>
        </w:tc>
        <w:tc>
          <w:tcPr>
            <w:tcW w:w="10788" w:type="dxa"/>
          </w:tcPr>
          <w:p>
            <w:pPr>
              <w:spacing w:line="24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编制了《纠正措施和预防措施通知单》包括“不符合采取措施控制并纠正；任何纠正措施的结果、不符合的原因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性质和采取的任何后续措施；确定是否存在或是否可能发生类似的不符合；实施任何所需的措施；评审所采取的任何纠正措施的有效性；必要时，对能源管理体系进行变更改、”等内容；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查内审无不符合项；</w:t>
            </w:r>
          </w:p>
        </w:tc>
        <w:tc>
          <w:tcPr>
            <w:tcW w:w="801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持续改进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788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公司通过日常检查、目标考核、内审和管理评审的结果、持续改进能源管理体系的有效性。</w:t>
            </w:r>
          </w:p>
        </w:tc>
        <w:tc>
          <w:tcPr>
            <w:tcW w:w="801" w:type="dxa"/>
          </w:tcPr>
          <w:p>
            <w:pPr>
              <w:ind w:firstLine="210" w:firstLineChars="1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1"/>
    <w:multiLevelType w:val="multilevel"/>
    <w:tmpl w:val="00000041"/>
    <w:lvl w:ilvl="0" w:tentative="0">
      <w:start w:val="1"/>
      <w:numFmt w:val="chineseCountingThousand"/>
      <w:isLgl/>
      <w:lvlText w:val="%1  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5"/>
      <w:isLgl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345E"/>
    <w:rsid w:val="055506B3"/>
    <w:rsid w:val="08792CFD"/>
    <w:rsid w:val="09234692"/>
    <w:rsid w:val="0BE9253E"/>
    <w:rsid w:val="0D4A78E2"/>
    <w:rsid w:val="11121520"/>
    <w:rsid w:val="119B5978"/>
    <w:rsid w:val="11C67A86"/>
    <w:rsid w:val="126B407E"/>
    <w:rsid w:val="13DA5513"/>
    <w:rsid w:val="15580819"/>
    <w:rsid w:val="18165F36"/>
    <w:rsid w:val="1DD05F06"/>
    <w:rsid w:val="1E52507B"/>
    <w:rsid w:val="206227B1"/>
    <w:rsid w:val="21F86DA8"/>
    <w:rsid w:val="233521EC"/>
    <w:rsid w:val="23D564AD"/>
    <w:rsid w:val="25E27B35"/>
    <w:rsid w:val="26952104"/>
    <w:rsid w:val="27BD4E8D"/>
    <w:rsid w:val="292317B6"/>
    <w:rsid w:val="2A100386"/>
    <w:rsid w:val="2B7238FC"/>
    <w:rsid w:val="2C770167"/>
    <w:rsid w:val="340864CC"/>
    <w:rsid w:val="35E34133"/>
    <w:rsid w:val="36184DDC"/>
    <w:rsid w:val="37E964B2"/>
    <w:rsid w:val="38153CF4"/>
    <w:rsid w:val="38BC3734"/>
    <w:rsid w:val="38C44C11"/>
    <w:rsid w:val="39F57921"/>
    <w:rsid w:val="3C75621C"/>
    <w:rsid w:val="3E604667"/>
    <w:rsid w:val="404041D2"/>
    <w:rsid w:val="44606EA9"/>
    <w:rsid w:val="45B00BAB"/>
    <w:rsid w:val="4B924EC3"/>
    <w:rsid w:val="4C814D6B"/>
    <w:rsid w:val="4C9772FC"/>
    <w:rsid w:val="4CF35EF7"/>
    <w:rsid w:val="529834A9"/>
    <w:rsid w:val="53CD1A23"/>
    <w:rsid w:val="591970CF"/>
    <w:rsid w:val="59917DFB"/>
    <w:rsid w:val="5C7E3B50"/>
    <w:rsid w:val="5F453CB3"/>
    <w:rsid w:val="627C4972"/>
    <w:rsid w:val="653D4648"/>
    <w:rsid w:val="693E300C"/>
    <w:rsid w:val="6CDF678D"/>
    <w:rsid w:val="6D3E5251"/>
    <w:rsid w:val="6EB14575"/>
    <w:rsid w:val="6F07291C"/>
    <w:rsid w:val="712A7510"/>
    <w:rsid w:val="71810271"/>
    <w:rsid w:val="75EF77E7"/>
    <w:rsid w:val="7CD81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pacing w:line="360" w:lineRule="auto"/>
      <w:jc w:val="left"/>
      <w:textAlignment w:val="baseline"/>
      <w:outlineLvl w:val="1"/>
    </w:pPr>
    <w:rPr>
      <w:rFonts w:ascii="Arial" w:hAnsi="Arial"/>
      <w:kern w:val="28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2021-10-27T08:36:06Z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FCB82A43C2224C2C927F38EF7896E93B</vt:lpwstr>
  </property>
</Properties>
</file>