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成都欧林生物科技股份有限公司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李芳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日 上午至2021年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91510100698860749H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2009年12月11日至</w:t>
            </w:r>
            <w:r>
              <w:rPr>
                <w:color w:val="000000"/>
                <w:szCs w:val="21"/>
                <w:u w:val="single"/>
              </w:rPr>
              <w:t xml:space="preserve">长期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预防用生物制品的生产（凭药品生产许可证在有效期内经营）；生物技术与生物制品的研究、开发、咨询并提供技术转让；生物制药市场的开发、咨询（不含危险化学品）；货物及技术进出口（国家禁止的品种除外，限制的品种办理许可方可经营）（依法须经批准的项目，经相关部门批准后方可开展经营活动）。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吸附破伤风疫苗、b型流感嗜血杆菌结合疫苗的技术研发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4" w:name="Q勾选"/>
            <w:r>
              <w:rPr>
                <w:rFonts w:hint="eastAsia"/>
                <w:szCs w:val="21"/>
              </w:rPr>
              <w:t>■</w:t>
            </w:r>
            <w:bookmarkEnd w:id="4"/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药品再注册批准通知书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吸附破伤风疫苗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通知书</w:t>
            </w:r>
            <w:r>
              <w:rPr>
                <w:rFonts w:hint="eastAsia"/>
                <w:color w:val="000000"/>
                <w:szCs w:val="21"/>
                <w:highlight w:val="none"/>
              </w:rPr>
              <w:t>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2021R046993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至2026年09月15日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药品注册批件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b型流感嗜血杆菌结合疫苗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批件</w:t>
            </w:r>
            <w:r>
              <w:rPr>
                <w:rFonts w:hint="eastAsia"/>
                <w:color w:val="000000"/>
                <w:szCs w:val="21"/>
                <w:highlight w:val="none"/>
              </w:rPr>
              <w:t>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2017S00255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至2022年05月17日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药品GMP证书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吸附破伤风疫苗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证书</w:t>
            </w: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CN20160067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至2021年12月29日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药品GMP证书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b型流感嗜血杆菌结合疫苗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证书</w:t>
            </w: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SC20190096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至2024年09月09日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highlight w:val="none"/>
                <w:u w:val="single"/>
              </w:rPr>
              <w:t>吸附破伤风疫苗、b型流感嗜血杆菌结合疫苗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。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证件有效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证件失效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范围合规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成都高新区天欣路99号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成都高新区天欣路99号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5820"/>
              </w:tabs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研发流程：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ab/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根据市场需求或客户要求→下达设计任务书→编制设计计划→设计输入→设计评审→设计验证→设计输出→设计确认</w:t>
            </w:r>
          </w:p>
          <w:p>
            <w:pPr>
              <w:ind w:firstLine="420" w:firstLineChars="200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的人数（总计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无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b/>
                <w:bCs w:val="0"/>
                <w:u w:val="single"/>
                <w:lang w:val="en-US" w:eastAsia="zh-CN"/>
              </w:rPr>
            </w:pPr>
            <w:r>
              <w:rPr>
                <w:rFonts w:hint="eastAsia"/>
                <w:szCs w:val="18"/>
              </w:rPr>
              <w:t>组织文件化的管理方针已制定，内容为：</w:t>
            </w:r>
            <w:r>
              <w:rPr>
                <w:rFonts w:hint="eastAsia"/>
                <w:szCs w:val="18"/>
                <w:u w:val="single"/>
                <w:lang w:eastAsia="zh-CN"/>
              </w:rPr>
              <w:t>“</w:t>
            </w:r>
            <w:r>
              <w:rPr>
                <w:rFonts w:hint="eastAsia" w:ascii="宋体" w:hAnsi="宋体" w:cs="宋体"/>
                <w:b/>
                <w:bCs w:val="0"/>
                <w:u w:val="single"/>
                <w:lang w:val="en-US" w:eastAsia="zh-CN"/>
              </w:rPr>
              <w:t>产品为人类造福、创行业标杆型企业；节能降耗、保护环境；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 w:cs="宋体"/>
                <w:b/>
                <w:bCs w:val="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u w:val="single"/>
                <w:lang w:val="en-US" w:eastAsia="zh-CN"/>
              </w:rPr>
              <w:t>遵纪守法安全生产、</w:t>
            </w:r>
            <w:r>
              <w:rPr>
                <w:rFonts w:hint="default" w:ascii="宋体" w:hAnsi="宋体" w:cs="宋体"/>
                <w:b/>
                <w:bCs w:val="0"/>
                <w:u w:val="single"/>
                <w:lang w:val="en-US" w:eastAsia="zh-CN"/>
              </w:rPr>
              <w:t>关爱员工身心健康</w:t>
            </w:r>
            <w:r>
              <w:rPr>
                <w:rFonts w:hint="eastAsia" w:ascii="宋体" w:hAnsi="宋体" w:cs="宋体"/>
                <w:b/>
                <w:bCs w:val="0"/>
                <w:u w:val="singl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/>
                <w:bCs w:val="0"/>
                <w:u w:val="single"/>
                <w:lang w:val="en-US" w:eastAsia="zh-CN"/>
              </w:rPr>
              <w:t>群策群力持续改进</w:t>
            </w:r>
            <w:r>
              <w:rPr>
                <w:rFonts w:hint="eastAsia" w:ascii="宋体" w:hAnsi="宋体" w:cs="宋体"/>
                <w:b/>
                <w:bCs w:val="0"/>
                <w:u w:val="single"/>
                <w:lang w:val="en-US" w:eastAsia="zh-CN"/>
              </w:rPr>
              <w:t>”。</w:t>
            </w:r>
          </w:p>
          <w:p>
            <w:pPr>
              <w:spacing w:line="360" w:lineRule="auto"/>
              <w:rPr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成功率90%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u w:val="single"/>
              </w:rPr>
              <w:t>顾客满意度≥95%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lang w:eastAsia="zh-CN"/>
                    </w:rPr>
                    <w:t>研发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</w:rPr>
                    <w:t>成功率90%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  <w:lang w:val="en-US" w:eastAsia="zh-CN"/>
                    </w:rPr>
                    <w:t>研发成功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率=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  <w:lang w:val="en-US" w:eastAsia="zh-CN"/>
                    </w:rPr>
                    <w:t>研发上市项目数量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÷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  <w:lang w:val="en-US" w:eastAsia="zh-CN"/>
                    </w:rPr>
                    <w:t>研发项目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总数量×100%；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</w:rPr>
                    <w:t>顾客满意度≥95%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满意度=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  <w:lang w:val="en-US" w:eastAsia="zh-CN"/>
                    </w:rPr>
                    <w:t>满意调查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总分÷调查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  <w:lang w:val="en-US" w:eastAsia="zh-CN"/>
                    </w:rPr>
                    <w:t>客户数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highlight w:val="none"/>
                    </w:rPr>
                    <w:t>×100%；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97.7%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outlineLvl w:val="0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green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color w:val="FF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highlight w:val="none"/>
              </w:rPr>
              <w:t>份；</w:t>
            </w:r>
            <w:r>
              <w:rPr>
                <w:rFonts w:hint="eastAsia"/>
                <w:color w:val="000000"/>
                <w:szCs w:val="18"/>
                <w:highlight w:val="none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15日-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发酵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  <w:lang w:val="en-US" w:eastAsia="zh-CN"/>
              </w:rPr>
              <w:t>离心、纯化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>过程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质量标准、获取药品注册批件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研发过程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巡视办公区域（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办公室、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研发</w:t>
            </w:r>
            <w:r>
              <w:rPr>
                <w:rFonts w:hint="eastAsia"/>
                <w:color w:val="000000"/>
              </w:rPr>
              <w:t>流程：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根据市场需求或客户要求→下达设计任务书→编制设计计划→设计输入→设计评审→设计验证→设计输出→设计确认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研发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卧式冷藏冷冻转换柜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电泳槽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电热恒温三用水箱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烛式滤器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生物安全柜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、生化培养箱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和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  <w:r>
              <w:rPr>
                <w:color w:val="000000"/>
                <w:u w:val="single"/>
              </w:rPr>
              <w:t>办公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设备。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滴定仪、TOC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分析</w:t>
            </w:r>
            <w:r>
              <w:rPr>
                <w:rFonts w:hint="eastAsia"/>
                <w:color w:val="000000"/>
                <w:highlight w:val="none"/>
                <w:u w:val="single"/>
              </w:rPr>
              <w:t>仪、高效液相色谱仪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等</w:t>
            </w:r>
            <w:bookmarkStart w:id="6" w:name="_GoBack"/>
            <w:bookmarkEnd w:id="6"/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500B0C"/>
    <w:rsid w:val="2307669D"/>
    <w:rsid w:val="5AD42F72"/>
    <w:rsid w:val="61716695"/>
    <w:rsid w:val="63DA4D16"/>
    <w:rsid w:val="64417DA2"/>
    <w:rsid w:val="6E872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3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2021-10-22T07:56:51Z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