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6B" w:rsidRDefault="00411B6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7376B">
        <w:trPr>
          <w:trHeight w:val="557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常熟市雅而斯音响设备有限责任公司</w:t>
            </w:r>
            <w:bookmarkEnd w:id="0"/>
          </w:p>
        </w:tc>
      </w:tr>
      <w:tr w:rsidR="00F7376B">
        <w:trPr>
          <w:trHeight w:val="557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常熟市虞山镇渠中村</w:t>
            </w:r>
            <w:bookmarkEnd w:id="1"/>
          </w:p>
        </w:tc>
      </w:tr>
      <w:tr w:rsidR="00F7376B">
        <w:trPr>
          <w:trHeight w:val="557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常熟市虞山镇渠中村</w:t>
            </w:r>
            <w:bookmarkStart w:id="3" w:name="_GoBack"/>
            <w:bookmarkEnd w:id="2"/>
            <w:bookmarkEnd w:id="3"/>
          </w:p>
        </w:tc>
      </w:tr>
      <w:tr w:rsidR="00F7376B">
        <w:trPr>
          <w:trHeight w:val="557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徐黎雅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13862355720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F7376B">
        <w:trPr>
          <w:trHeight w:val="557"/>
        </w:trPr>
        <w:tc>
          <w:tcPr>
            <w:tcW w:w="1142" w:type="dxa"/>
            <w:vAlign w:val="center"/>
          </w:tcPr>
          <w:p w:rsidR="00F7376B" w:rsidRDefault="00411B6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7376B" w:rsidRDefault="004520BF">
            <w:bookmarkStart w:id="7" w:name="最高管理者"/>
            <w:bookmarkEnd w:id="7"/>
            <w:r w:rsidRPr="00EE0B03">
              <w:rPr>
                <w:rFonts w:hint="eastAsia"/>
                <w:sz w:val="21"/>
                <w:szCs w:val="21"/>
              </w:rPr>
              <w:t>徐水根</w:t>
            </w:r>
          </w:p>
        </w:tc>
        <w:tc>
          <w:tcPr>
            <w:tcW w:w="1090" w:type="dxa"/>
            <w:gridSpan w:val="2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7376B" w:rsidRDefault="00F7376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  <w:tr w:rsidR="00F7376B">
        <w:trPr>
          <w:trHeight w:val="418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7376B" w:rsidRDefault="00411B6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1067-2021-Q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F7376B" w:rsidRDefault="00411B6A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7376B">
        <w:trPr>
          <w:trHeight w:val="455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F7376B">
        <w:trPr>
          <w:trHeight w:val="455"/>
        </w:trPr>
        <w:tc>
          <w:tcPr>
            <w:tcW w:w="1142" w:type="dxa"/>
          </w:tcPr>
          <w:p w:rsidR="00F7376B" w:rsidRDefault="00411B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F7376B" w:rsidRDefault="004520B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11B6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7376B">
        <w:trPr>
          <w:trHeight w:val="455"/>
        </w:trPr>
        <w:tc>
          <w:tcPr>
            <w:tcW w:w="1142" w:type="dxa"/>
          </w:tcPr>
          <w:p w:rsidR="00F7376B" w:rsidRDefault="00411B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F7376B" w:rsidRDefault="00411B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7376B">
        <w:trPr>
          <w:trHeight w:val="455"/>
        </w:trPr>
        <w:tc>
          <w:tcPr>
            <w:tcW w:w="1142" w:type="dxa"/>
          </w:tcPr>
          <w:p w:rsidR="00F7376B" w:rsidRDefault="00411B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F7376B" w:rsidRDefault="00411B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7376B">
        <w:trPr>
          <w:trHeight w:val="990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7376B" w:rsidRDefault="00411B6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7376B">
        <w:trPr>
          <w:trHeight w:val="4810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F7376B" w:rsidRDefault="00411B6A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书柜、穴位存放柜的生产</w:t>
            </w:r>
            <w:bookmarkEnd w:id="22"/>
          </w:p>
        </w:tc>
        <w:tc>
          <w:tcPr>
            <w:tcW w:w="680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F7376B" w:rsidRDefault="00411B6A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23.01.01</w:t>
            </w:r>
            <w:bookmarkEnd w:id="23"/>
          </w:p>
        </w:tc>
      </w:tr>
      <w:tr w:rsidR="00F7376B">
        <w:trPr>
          <w:trHeight w:val="1184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7376B" w:rsidRDefault="00411B6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7376B" w:rsidRDefault="00411B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F7376B" w:rsidRDefault="00411B6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7376B" w:rsidRDefault="00411B6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7376B" w:rsidRDefault="00B948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411B6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411B6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F7376B" w:rsidRDefault="00B9480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411B6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411B6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7376B">
        <w:trPr>
          <w:trHeight w:val="430"/>
        </w:trPr>
        <w:tc>
          <w:tcPr>
            <w:tcW w:w="1142" w:type="dxa"/>
            <w:vMerge w:val="restart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7376B">
        <w:trPr>
          <w:trHeight w:val="465"/>
        </w:trPr>
        <w:tc>
          <w:tcPr>
            <w:tcW w:w="1142" w:type="dxa"/>
            <w:vMerge/>
            <w:vAlign w:val="center"/>
          </w:tcPr>
          <w:p w:rsidR="00F7376B" w:rsidRDefault="00F7376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F7376B" w:rsidRDefault="00411B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7376B">
        <w:trPr>
          <w:trHeight w:val="465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F7376B" w:rsidRDefault="00B94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411B6A">
              <w:rPr>
                <w:rFonts w:hint="eastAsia"/>
                <w:b/>
                <w:sz w:val="20"/>
              </w:rPr>
              <w:t>普通话</w:t>
            </w:r>
            <w:r w:rsidR="00411B6A">
              <w:rPr>
                <w:rFonts w:hint="eastAsia"/>
                <w:sz w:val="20"/>
                <w:lang w:val="de-DE"/>
              </w:rPr>
              <w:t>□</w:t>
            </w:r>
            <w:r w:rsidR="00411B6A">
              <w:rPr>
                <w:rFonts w:hint="eastAsia"/>
                <w:b/>
                <w:sz w:val="20"/>
              </w:rPr>
              <w:t>英语</w:t>
            </w:r>
            <w:r w:rsidR="00411B6A">
              <w:rPr>
                <w:rFonts w:hint="eastAsia"/>
                <w:sz w:val="20"/>
                <w:lang w:val="de-DE"/>
              </w:rPr>
              <w:t>□</w:t>
            </w:r>
            <w:r w:rsidR="00411B6A">
              <w:rPr>
                <w:rFonts w:hint="eastAsia"/>
                <w:b/>
                <w:sz w:val="20"/>
              </w:rPr>
              <w:t>其他</w:t>
            </w:r>
          </w:p>
        </w:tc>
      </w:tr>
      <w:tr w:rsidR="00F7376B">
        <w:trPr>
          <w:trHeight w:val="465"/>
        </w:trPr>
        <w:tc>
          <w:tcPr>
            <w:tcW w:w="10321" w:type="dxa"/>
            <w:gridSpan w:val="13"/>
            <w:vAlign w:val="center"/>
          </w:tcPr>
          <w:p w:rsidR="00F7376B" w:rsidRDefault="00411B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7376B">
        <w:trPr>
          <w:trHeight w:val="465"/>
        </w:trPr>
        <w:tc>
          <w:tcPr>
            <w:tcW w:w="1142" w:type="dxa"/>
            <w:vAlign w:val="center"/>
          </w:tcPr>
          <w:p w:rsidR="00F7376B" w:rsidRDefault="00411B6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F7376B" w:rsidRDefault="00411B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7376B">
        <w:trPr>
          <w:trHeight w:val="465"/>
        </w:trPr>
        <w:tc>
          <w:tcPr>
            <w:tcW w:w="1142" w:type="dxa"/>
            <w:vAlign w:val="center"/>
          </w:tcPr>
          <w:p w:rsidR="00F7376B" w:rsidRDefault="00411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B94809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</w:t>
            </w:r>
          </w:p>
        </w:tc>
        <w:tc>
          <w:tcPr>
            <w:tcW w:w="1299" w:type="dxa"/>
            <w:gridSpan w:val="4"/>
            <w:vAlign w:val="center"/>
          </w:tcPr>
          <w:p w:rsidR="00F7376B" w:rsidRDefault="00411B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F7376B" w:rsidRDefault="00F7376B">
            <w:pPr>
              <w:rPr>
                <w:sz w:val="20"/>
                <w:lang w:val="de-DE"/>
              </w:rPr>
            </w:pPr>
          </w:p>
        </w:tc>
      </w:tr>
      <w:tr w:rsidR="00F7376B">
        <w:trPr>
          <w:trHeight w:val="827"/>
        </w:trPr>
        <w:tc>
          <w:tcPr>
            <w:tcW w:w="1142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</w:tr>
      <w:tr w:rsidR="00F7376B">
        <w:trPr>
          <w:trHeight w:val="985"/>
        </w:trPr>
        <w:tc>
          <w:tcPr>
            <w:tcW w:w="1142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</w:tr>
      <w:tr w:rsidR="00F7376B">
        <w:trPr>
          <w:trHeight w:val="970"/>
        </w:trPr>
        <w:tc>
          <w:tcPr>
            <w:tcW w:w="1142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</w:tr>
      <w:tr w:rsidR="00F7376B">
        <w:trPr>
          <w:trHeight w:val="879"/>
        </w:trPr>
        <w:tc>
          <w:tcPr>
            <w:tcW w:w="1142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F7376B" w:rsidRDefault="00F7376B">
            <w:pPr>
              <w:jc w:val="center"/>
              <w:rPr>
                <w:sz w:val="21"/>
                <w:szCs w:val="21"/>
              </w:rPr>
            </w:pPr>
          </w:p>
        </w:tc>
      </w:tr>
      <w:tr w:rsidR="00F7376B">
        <w:trPr>
          <w:trHeight w:val="465"/>
        </w:trPr>
        <w:tc>
          <w:tcPr>
            <w:tcW w:w="10321" w:type="dxa"/>
            <w:gridSpan w:val="13"/>
            <w:vAlign w:val="center"/>
          </w:tcPr>
          <w:p w:rsidR="00F7376B" w:rsidRDefault="00411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7376B">
        <w:trPr>
          <w:trHeight w:val="465"/>
        </w:trPr>
        <w:tc>
          <w:tcPr>
            <w:tcW w:w="1142" w:type="dxa"/>
            <w:vAlign w:val="center"/>
          </w:tcPr>
          <w:p w:rsidR="00F7376B" w:rsidRDefault="00411B6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F7376B" w:rsidRDefault="00411B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7376B" w:rsidRDefault="00411B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F7376B" w:rsidRDefault="00411B6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F7376B" w:rsidRDefault="00411B6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7376B">
        <w:trPr>
          <w:trHeight w:val="567"/>
        </w:trPr>
        <w:tc>
          <w:tcPr>
            <w:tcW w:w="1142" w:type="dxa"/>
            <w:vAlign w:val="center"/>
          </w:tcPr>
          <w:p w:rsidR="00F7376B" w:rsidRDefault="00F7376B"/>
        </w:tc>
        <w:tc>
          <w:tcPr>
            <w:tcW w:w="1350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7376B" w:rsidRDefault="00F7376B"/>
        </w:tc>
        <w:tc>
          <w:tcPr>
            <w:tcW w:w="1380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  <w:tr w:rsidR="00F7376B">
        <w:trPr>
          <w:trHeight w:val="465"/>
        </w:trPr>
        <w:tc>
          <w:tcPr>
            <w:tcW w:w="1142" w:type="dxa"/>
            <w:vAlign w:val="center"/>
          </w:tcPr>
          <w:p w:rsidR="00F7376B" w:rsidRDefault="00F7376B"/>
        </w:tc>
        <w:tc>
          <w:tcPr>
            <w:tcW w:w="1350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7376B" w:rsidRDefault="00F737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7376B" w:rsidRDefault="00F7376B"/>
        </w:tc>
        <w:tc>
          <w:tcPr>
            <w:tcW w:w="1299" w:type="dxa"/>
            <w:gridSpan w:val="4"/>
            <w:vAlign w:val="center"/>
          </w:tcPr>
          <w:p w:rsidR="00F7376B" w:rsidRDefault="00F7376B"/>
        </w:tc>
        <w:tc>
          <w:tcPr>
            <w:tcW w:w="1380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  <w:tr w:rsidR="00F7376B">
        <w:trPr>
          <w:trHeight w:val="729"/>
        </w:trPr>
        <w:tc>
          <w:tcPr>
            <w:tcW w:w="10321" w:type="dxa"/>
            <w:gridSpan w:val="13"/>
            <w:vAlign w:val="center"/>
          </w:tcPr>
          <w:p w:rsidR="00F7376B" w:rsidRDefault="00411B6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7376B">
        <w:trPr>
          <w:trHeight w:val="586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7376B" w:rsidRDefault="00B94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7376B" w:rsidRDefault="00D642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F7376B" w:rsidRDefault="00411B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  <w:tr w:rsidR="00F7376B">
        <w:trPr>
          <w:trHeight w:val="509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7376B" w:rsidRDefault="00B94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  <w:tr w:rsidR="00F7376B">
        <w:trPr>
          <w:trHeight w:val="600"/>
        </w:trPr>
        <w:tc>
          <w:tcPr>
            <w:tcW w:w="1142" w:type="dxa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7376B" w:rsidRDefault="00B94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2021-11-15</w:t>
            </w:r>
          </w:p>
        </w:tc>
        <w:tc>
          <w:tcPr>
            <w:tcW w:w="1502" w:type="dxa"/>
            <w:gridSpan w:val="2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7376B" w:rsidRDefault="00D64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2021-11-15</w:t>
            </w:r>
          </w:p>
        </w:tc>
        <w:tc>
          <w:tcPr>
            <w:tcW w:w="2061" w:type="dxa"/>
            <w:gridSpan w:val="5"/>
            <w:vAlign w:val="center"/>
          </w:tcPr>
          <w:p w:rsidR="00F7376B" w:rsidRDefault="00411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F7376B" w:rsidRDefault="00F7376B">
            <w:pPr>
              <w:rPr>
                <w:sz w:val="21"/>
                <w:szCs w:val="21"/>
              </w:rPr>
            </w:pPr>
          </w:p>
        </w:tc>
      </w:tr>
    </w:tbl>
    <w:p w:rsidR="00F7376B" w:rsidRDefault="00F7376B"/>
    <w:p w:rsidR="00B94809" w:rsidRDefault="00B94809" w:rsidP="00B94809">
      <w:pPr>
        <w:pStyle w:val="a0"/>
      </w:pPr>
    </w:p>
    <w:p w:rsidR="00B94809" w:rsidRDefault="00B94809" w:rsidP="00B94809">
      <w:pPr>
        <w:pStyle w:val="a0"/>
      </w:pPr>
    </w:p>
    <w:p w:rsidR="00B94809" w:rsidRDefault="00B94809" w:rsidP="00EE0B0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94809" w:rsidRPr="00D642D5" w:rsidTr="00BA1C5F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94809" w:rsidRPr="00D642D5" w:rsidRDefault="00B94809" w:rsidP="00BA1C5F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94809" w:rsidRPr="00D642D5" w:rsidRDefault="00B94809" w:rsidP="00BA1C5F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94809" w:rsidRPr="00D642D5" w:rsidRDefault="00B94809" w:rsidP="00BA1C5F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napToGrid w:val="0"/>
              <w:spacing w:line="280" w:lineRule="exact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94809" w:rsidRPr="00D642D5" w:rsidTr="00BA1C5F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EE0B03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B94809" w:rsidRPr="00D642D5" w:rsidRDefault="00B94809" w:rsidP="00EE0B03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8: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3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9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B94809" w:rsidRPr="00D642D5" w:rsidRDefault="00B94809" w:rsidP="00D642D5">
            <w:pPr>
              <w:spacing w:line="280" w:lineRule="exact"/>
              <w:ind w:firstLineChars="200" w:firstLine="422"/>
              <w:jc w:val="center"/>
              <w:rPr>
                <w:rFonts w:eastAsiaTheme="minorEastAsia"/>
                <w:spacing w:val="-6"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B94809" w:rsidRPr="00D642D5" w:rsidTr="00EE0B03">
        <w:trPr>
          <w:cantSplit/>
          <w:trHeight w:val="27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B94809" w:rsidRPr="00D642D5" w:rsidRDefault="00EE0B03" w:rsidP="00EE0B03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int="eastAsia"/>
                <w:sz w:val="21"/>
                <w:szCs w:val="21"/>
              </w:rPr>
              <w:t>9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0</w:t>
            </w:r>
            <w:r w:rsidR="00B94809"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1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B94809" w:rsidRPr="00D642D5" w:rsidRDefault="00B94809" w:rsidP="00BA1C5F">
            <w:pPr>
              <w:spacing w:line="280" w:lineRule="exact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 w:rsidR="00EE0B03" w:rsidRPr="00D642D5" w:rsidRDefault="00B94809" w:rsidP="00D642D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eastAsiaTheme="minorEastAsia" w:hAnsiTheme="minorEastAsia"/>
                <w:bCs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QMS: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 xml:space="preserve"> 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4.1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理解组织及其环境、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4.2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理解相关方的需求和期望、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 xml:space="preserve">4.3 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确定管理体系的范围、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4.4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质量管理体系及其过程、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5.1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领导作用和承诺、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5.2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质量方针、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5.3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组织的岗位、职责和权限、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6.1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应对风险和机遇的措施、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6.2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质量目标及其实现的策划、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6.3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变更的策划、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7.1.1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资源总则、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7.4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沟通、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9.3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管理评审、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10.1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改进、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10.3</w:t>
            </w:r>
            <w:r w:rsidR="00EE0B03" w:rsidRPr="00D642D5">
              <w:rPr>
                <w:rFonts w:eastAsiaTheme="minorEastAsia" w:hAnsiTheme="minorEastAsia" w:hint="eastAsia"/>
                <w:bCs/>
                <w:sz w:val="21"/>
                <w:szCs w:val="21"/>
              </w:rPr>
              <w:t>持续改进，</w:t>
            </w:r>
          </w:p>
          <w:p w:rsidR="00EE0B03" w:rsidRPr="00D642D5" w:rsidRDefault="00B94809" w:rsidP="00D642D5">
            <w:pPr>
              <w:pStyle w:val="a8"/>
              <w:spacing w:line="300" w:lineRule="exact"/>
              <w:ind w:firstLineChars="0" w:firstLine="0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sz w:val="21"/>
                <w:szCs w:val="21"/>
              </w:rPr>
              <w:t>标准</w:t>
            </w:r>
            <w:r w:rsidRPr="00D642D5">
              <w:rPr>
                <w:rFonts w:eastAsiaTheme="minorEastAsia"/>
                <w:sz w:val="21"/>
                <w:szCs w:val="21"/>
              </w:rPr>
              <w:t>/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规范</w:t>
            </w:r>
            <w:r w:rsidRPr="00D642D5">
              <w:rPr>
                <w:rFonts w:eastAsiaTheme="minorEastAsia"/>
                <w:sz w:val="21"/>
                <w:szCs w:val="21"/>
              </w:rPr>
              <w:t>/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 xml:space="preserve"> A</w:t>
            </w:r>
          </w:p>
        </w:tc>
      </w:tr>
      <w:tr w:rsidR="00B94809" w:rsidRPr="00D642D5" w:rsidTr="00430F9C">
        <w:trPr>
          <w:cantSplit/>
          <w:trHeight w:val="16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B94809" w:rsidRPr="00D642D5" w:rsidRDefault="00B94809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:00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7</w:t>
            </w:r>
            <w:r w:rsidRPr="00D642D5">
              <w:rPr>
                <w:rFonts w:eastAsiaTheme="minorEastAsia"/>
                <w:sz w:val="21"/>
                <w:szCs w:val="21"/>
              </w:rPr>
              <w:t>:00</w:t>
            </w:r>
          </w:p>
          <w:p w:rsidR="00B94809" w:rsidRPr="00D642D5" w:rsidRDefault="00B94809" w:rsidP="00EE0B03">
            <w:pPr>
              <w:spacing w:line="24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sz w:val="21"/>
                <w:szCs w:val="21"/>
              </w:rPr>
              <w:t>（午餐</w:t>
            </w:r>
            <w:r w:rsidR="00EE0B03" w:rsidRPr="00D642D5">
              <w:rPr>
                <w:rFonts w:eastAsiaTheme="minorEastAsia"/>
                <w:sz w:val="21"/>
                <w:szCs w:val="21"/>
              </w:rPr>
              <w:t>12:00</w:t>
            </w:r>
            <w:r w:rsidR="00EE0B03"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="00EE0B03" w:rsidRPr="00D642D5">
              <w:rPr>
                <w:rFonts w:eastAsiaTheme="minorEastAsia"/>
                <w:sz w:val="21"/>
                <w:szCs w:val="21"/>
              </w:rPr>
              <w:t>1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2</w:t>
            </w:r>
            <w:r w:rsidR="00EE0B03" w:rsidRPr="00D642D5">
              <w:rPr>
                <w:rFonts w:eastAsiaTheme="minorEastAsia"/>
                <w:sz w:val="21"/>
                <w:szCs w:val="21"/>
              </w:rPr>
              <w:t>: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3</w:t>
            </w:r>
            <w:r w:rsidR="00EE0B03"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）</w:t>
            </w:r>
          </w:p>
          <w:p w:rsidR="00B94809" w:rsidRPr="00D642D5" w:rsidRDefault="00B94809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1" w:type="dxa"/>
          </w:tcPr>
          <w:p w:rsidR="00B94809" w:rsidRPr="00D642D5" w:rsidRDefault="00B94809" w:rsidP="00BA1C5F">
            <w:pPr>
              <w:spacing w:line="280" w:lineRule="exact"/>
              <w:rPr>
                <w:rFonts w:eastAsiaTheme="minorEastAsia"/>
                <w:b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sz w:val="21"/>
                <w:szCs w:val="21"/>
              </w:rPr>
              <w:t>生产部</w:t>
            </w:r>
          </w:p>
        </w:tc>
        <w:tc>
          <w:tcPr>
            <w:tcW w:w="5823" w:type="dxa"/>
            <w:vAlign w:val="center"/>
          </w:tcPr>
          <w:p w:rsidR="00EE0B03" w:rsidRPr="00D642D5" w:rsidRDefault="00B94809" w:rsidP="00EE0B0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QMS: 5.3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组织的岗位、职责和权限、</w:t>
            </w:r>
            <w:r w:rsidRPr="00D642D5">
              <w:rPr>
                <w:rFonts w:eastAsiaTheme="minorEastAsia"/>
                <w:sz w:val="21"/>
                <w:szCs w:val="21"/>
              </w:rPr>
              <w:t>6.2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质量目标、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7.1.3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基础设施、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7.1.4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过程运行环境、</w:t>
            </w:r>
            <w:r w:rsidRPr="00D642D5">
              <w:rPr>
                <w:rFonts w:eastAsiaTheme="minorEastAsia"/>
                <w:sz w:val="21"/>
                <w:szCs w:val="21"/>
              </w:rPr>
              <w:t>7.1.5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监视和测量资源、</w:t>
            </w:r>
            <w:r w:rsidRPr="00D642D5">
              <w:rPr>
                <w:rFonts w:eastAsiaTheme="minorEastAsia"/>
                <w:sz w:val="21"/>
                <w:szCs w:val="21"/>
              </w:rPr>
              <w:t>8.1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运行策划和控制、</w:t>
            </w:r>
            <w:r w:rsidRPr="00D642D5">
              <w:rPr>
                <w:rFonts w:eastAsiaTheme="minorEastAsia"/>
                <w:sz w:val="21"/>
                <w:szCs w:val="21"/>
              </w:rPr>
              <w:t>8.3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产品和服务的设计和开发不适用确认、</w:t>
            </w:r>
            <w:r w:rsidRPr="00D642D5">
              <w:rPr>
                <w:rFonts w:eastAsiaTheme="minorEastAsia"/>
                <w:sz w:val="21"/>
                <w:szCs w:val="21"/>
              </w:rPr>
              <w:t>8.5.1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生产和服务提供的控制、</w:t>
            </w:r>
            <w:r w:rsidRPr="00D642D5">
              <w:rPr>
                <w:rFonts w:eastAsiaTheme="minorEastAsia"/>
                <w:sz w:val="21"/>
                <w:szCs w:val="21"/>
              </w:rPr>
              <w:t>8.5.2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产品标识和可追朔性、</w:t>
            </w:r>
            <w:r w:rsidRPr="00D642D5">
              <w:rPr>
                <w:rFonts w:eastAsiaTheme="minorEastAsia"/>
                <w:sz w:val="21"/>
                <w:szCs w:val="21"/>
              </w:rPr>
              <w:t>8.5.4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产品防护、</w:t>
            </w:r>
            <w:r w:rsidRPr="00D642D5">
              <w:rPr>
                <w:rFonts w:eastAsiaTheme="minorEastAsia"/>
                <w:sz w:val="21"/>
                <w:szCs w:val="21"/>
              </w:rPr>
              <w:t>8.5.6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生产和服务提供的更改控制、</w:t>
            </w:r>
            <w:r w:rsidRPr="00D642D5">
              <w:rPr>
                <w:rFonts w:eastAsiaTheme="minorEastAsia"/>
                <w:sz w:val="21"/>
                <w:szCs w:val="21"/>
              </w:rPr>
              <w:t>8.6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产品和服务的放行、</w:t>
            </w:r>
            <w:r w:rsidRPr="00D642D5">
              <w:rPr>
                <w:rFonts w:eastAsiaTheme="minorEastAsia"/>
                <w:sz w:val="21"/>
                <w:szCs w:val="21"/>
              </w:rPr>
              <w:t>8.7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不合格输出的控制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ind w:firstLineChars="100" w:firstLine="210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B94809" w:rsidRPr="00D642D5" w:rsidTr="00BA1C5F">
        <w:trPr>
          <w:cantSplit/>
          <w:trHeight w:val="13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int="eastAsia"/>
                <w:sz w:val="21"/>
                <w:szCs w:val="21"/>
              </w:rPr>
              <w:t>7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5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0</w:t>
            </w:r>
            <w:r w:rsidR="00B94809"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10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:</w:t>
            </w:r>
            <w:r w:rsidR="00B94809"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="00B94809" w:rsidRPr="00D642D5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94809" w:rsidRPr="00D642D5" w:rsidRDefault="00B94809" w:rsidP="00BA1C5F">
            <w:pPr>
              <w:spacing w:line="280" w:lineRule="exact"/>
              <w:rPr>
                <w:rFonts w:eastAsiaTheme="minorEastAsia"/>
                <w:b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B94809" w:rsidRPr="00D642D5" w:rsidRDefault="00B94809" w:rsidP="00BA1C5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QMS: 5.3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组织的岗位、职责和权限、</w:t>
            </w:r>
            <w:r w:rsidRPr="00D642D5">
              <w:rPr>
                <w:rFonts w:eastAsiaTheme="minorEastAsia"/>
                <w:sz w:val="21"/>
                <w:szCs w:val="21"/>
              </w:rPr>
              <w:t>6.2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质量目标、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7.1.2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人员、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7.1.6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组织知识、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7.2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能力、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7.3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意识、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7.5</w:t>
            </w:r>
            <w:r w:rsidR="00EE0B03" w:rsidRPr="00D642D5">
              <w:rPr>
                <w:rFonts w:eastAsiaTheme="minorEastAsia" w:hAnsiTheme="minorEastAsia" w:hint="eastAsia"/>
                <w:sz w:val="21"/>
                <w:szCs w:val="21"/>
              </w:rPr>
              <w:t>成文信息、</w:t>
            </w:r>
            <w:r w:rsidRPr="00D642D5">
              <w:rPr>
                <w:rFonts w:eastAsiaTheme="minorEastAsia"/>
                <w:spacing w:val="-6"/>
                <w:sz w:val="21"/>
                <w:szCs w:val="21"/>
              </w:rPr>
              <w:t>9.1.1</w:t>
            </w:r>
            <w:r w:rsidRPr="00D642D5">
              <w:rPr>
                <w:rFonts w:eastAsiaTheme="minorEastAsia" w:hAnsiTheme="minorEastAsia"/>
                <w:spacing w:val="-6"/>
                <w:sz w:val="21"/>
                <w:szCs w:val="21"/>
              </w:rPr>
              <w:t>监视、测量、分析和评价总则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、</w:t>
            </w:r>
            <w:r w:rsidRPr="00D642D5">
              <w:rPr>
                <w:rFonts w:eastAsiaTheme="minorEastAsia"/>
                <w:sz w:val="21"/>
                <w:szCs w:val="21"/>
              </w:rPr>
              <w:t>9.1.3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分析与评价、</w:t>
            </w:r>
            <w:r w:rsidRPr="00D642D5">
              <w:rPr>
                <w:rFonts w:eastAsiaTheme="minorEastAsia"/>
                <w:sz w:val="21"/>
                <w:szCs w:val="21"/>
              </w:rPr>
              <w:t xml:space="preserve">9.2 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内部审核、</w:t>
            </w:r>
            <w:r w:rsidRPr="00D642D5">
              <w:rPr>
                <w:rFonts w:eastAsiaTheme="minorEastAsia"/>
                <w:sz w:val="21"/>
                <w:szCs w:val="21"/>
              </w:rPr>
              <w:t>10.2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不合格和纠正措施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EE0B03" w:rsidRPr="00D642D5" w:rsidTr="00D642D5">
        <w:trPr>
          <w:cantSplit/>
          <w:trHeight w:val="126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E0B03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EE0B03" w:rsidRPr="00D642D5" w:rsidRDefault="00EE0B03" w:rsidP="00EE0B03">
            <w:pPr>
              <w:spacing w:line="240" w:lineRule="exact"/>
              <w:rPr>
                <w:rFonts w:eastAsiaTheme="minorEastAsia" w:hint="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Pr="00D642D5">
              <w:rPr>
                <w:rFonts w:eastAsiaTheme="minorEastAsia" w:hint="eastAsia"/>
                <w:sz w:val="21"/>
                <w:szCs w:val="21"/>
              </w:rPr>
              <w:t>3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</w:p>
          <w:p w:rsidR="00EE0B03" w:rsidRPr="00D642D5" w:rsidRDefault="00EE0B03" w:rsidP="00D642D5">
            <w:pPr>
              <w:spacing w:line="24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sz w:val="21"/>
                <w:szCs w:val="21"/>
              </w:rPr>
              <w:t>（午餐</w:t>
            </w:r>
            <w:r w:rsidRPr="00D642D5">
              <w:rPr>
                <w:rFonts w:eastAsiaTheme="minorEastAsia"/>
                <w:sz w:val="21"/>
                <w:szCs w:val="21"/>
              </w:rPr>
              <w:t>12:00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Pr="00D642D5">
              <w:rPr>
                <w:rFonts w:eastAsiaTheme="minorEastAsia" w:hint="eastAsia"/>
                <w:sz w:val="21"/>
                <w:szCs w:val="21"/>
              </w:rPr>
              <w:t>2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3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EE0B03" w:rsidRPr="00D642D5" w:rsidRDefault="00EE0B03" w:rsidP="00BA1C5F">
            <w:pPr>
              <w:spacing w:line="300" w:lineRule="exact"/>
              <w:rPr>
                <w:rFonts w:eastAsiaTheme="minorEastAsia" w:hAnsi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EE0B03" w:rsidRPr="00D642D5" w:rsidRDefault="00EE0B03" w:rsidP="00EE0B0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int="eastAsia"/>
                <w:sz w:val="21"/>
                <w:szCs w:val="21"/>
              </w:rPr>
              <w:t>QMS:5.3</w:t>
            </w:r>
            <w:r w:rsidRPr="00D642D5">
              <w:rPr>
                <w:rFonts w:eastAsiaTheme="minorEastAsia" w:hint="eastAsia"/>
                <w:sz w:val="21"/>
                <w:szCs w:val="21"/>
              </w:rPr>
              <w:t>组织的岗位、职责和权限、</w:t>
            </w:r>
            <w:r w:rsidRPr="00D642D5">
              <w:rPr>
                <w:rFonts w:eastAsiaTheme="minorEastAsia" w:hint="eastAsia"/>
                <w:sz w:val="21"/>
                <w:szCs w:val="21"/>
              </w:rPr>
              <w:t>6.2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质量目标、</w:t>
            </w:r>
            <w:r w:rsidRPr="00D642D5">
              <w:rPr>
                <w:rFonts w:eastAsiaTheme="minorEastAsia" w:hint="eastAsia"/>
                <w:sz w:val="21"/>
                <w:szCs w:val="21"/>
              </w:rPr>
              <w:t>8.4</w:t>
            </w:r>
            <w:r w:rsidRPr="00D642D5">
              <w:rPr>
                <w:rFonts w:eastAsiaTheme="minorEastAsia" w:hint="eastAsia"/>
                <w:sz w:val="21"/>
                <w:szCs w:val="21"/>
              </w:rPr>
              <w:t>外部提供过程、产品和服务的控制、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E0B03" w:rsidRPr="00D642D5" w:rsidRDefault="00EE0B03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B94809" w:rsidRPr="00D642D5" w:rsidTr="00D642D5">
        <w:trPr>
          <w:cantSplit/>
          <w:trHeight w:val="126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B94809" w:rsidRPr="00D642D5" w:rsidRDefault="00B94809" w:rsidP="00D642D5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="00D642D5" w:rsidRPr="00D642D5">
              <w:rPr>
                <w:rFonts w:eastAsiaTheme="minorEastAsia" w:hint="eastAsia"/>
                <w:sz w:val="21"/>
                <w:szCs w:val="21"/>
              </w:rPr>
              <w:t>3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/>
                <w:sz w:val="21"/>
                <w:szCs w:val="21"/>
              </w:rPr>
              <w:t>16: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B94809" w:rsidRPr="00D642D5" w:rsidRDefault="00B94809" w:rsidP="00BA1C5F">
            <w:pPr>
              <w:spacing w:line="300" w:lineRule="exact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D642D5">
              <w:rPr>
                <w:rFonts w:eastAsiaTheme="minorEastAsia" w:hAnsiTheme="minor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 w:rsidR="00B94809" w:rsidRPr="00D642D5" w:rsidRDefault="00B94809" w:rsidP="00EE0B0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QMS:5.3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组织的岗位、职责和权限、</w:t>
            </w:r>
            <w:r w:rsidRPr="00D642D5">
              <w:rPr>
                <w:rFonts w:eastAsiaTheme="minorEastAsia"/>
                <w:sz w:val="21"/>
                <w:szCs w:val="21"/>
              </w:rPr>
              <w:t>6.2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质量目标、环境目标、</w:t>
            </w:r>
            <w:r w:rsidRPr="00D642D5">
              <w:rPr>
                <w:rFonts w:eastAsiaTheme="minorEastAsia"/>
                <w:sz w:val="21"/>
                <w:szCs w:val="21"/>
              </w:rPr>
              <w:t>8.2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产品和服务的要求、</w:t>
            </w:r>
            <w:r w:rsidRPr="00D642D5">
              <w:rPr>
                <w:rFonts w:eastAsiaTheme="minorEastAsia"/>
                <w:sz w:val="21"/>
                <w:szCs w:val="21"/>
              </w:rPr>
              <w:t>8.5.3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顾客或外部供方财产、</w:t>
            </w:r>
            <w:r w:rsidRPr="00D642D5">
              <w:rPr>
                <w:rFonts w:eastAsiaTheme="minorEastAsia"/>
                <w:sz w:val="21"/>
                <w:szCs w:val="21"/>
              </w:rPr>
              <w:t>8.5.5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交付后活动、</w:t>
            </w:r>
            <w:r w:rsidRPr="00D642D5">
              <w:rPr>
                <w:rFonts w:eastAsiaTheme="minorEastAsia"/>
                <w:sz w:val="21"/>
                <w:szCs w:val="21"/>
              </w:rPr>
              <w:t>9.1.2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顾客满意度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  <w:tr w:rsidR="00B94809" w:rsidRPr="00D642D5" w:rsidTr="00D642D5">
        <w:trPr>
          <w:cantSplit/>
          <w:trHeight w:val="98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4809" w:rsidRPr="00D642D5" w:rsidRDefault="00EE0B03" w:rsidP="00BA1C5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202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11</w:t>
            </w:r>
            <w:r w:rsidRPr="00D642D5">
              <w:rPr>
                <w:rFonts w:eastAsiaTheme="minorEastAsia"/>
                <w:sz w:val="21"/>
                <w:szCs w:val="21"/>
              </w:rPr>
              <w:t>.</w:t>
            </w:r>
            <w:r w:rsidRPr="00D642D5">
              <w:rPr>
                <w:rFonts w:eastAsiaTheme="minorEastAsia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B94809" w:rsidRPr="00D642D5" w:rsidRDefault="00B94809" w:rsidP="00EE0B03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16:</w:t>
            </w:r>
            <w:r w:rsidRPr="00D642D5">
              <w:rPr>
                <w:rFonts w:eastAsiaTheme="minorEastAsia" w:hint="eastAsia"/>
                <w:sz w:val="21"/>
                <w:szCs w:val="21"/>
              </w:rPr>
              <w:t>0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  <w:r w:rsidRPr="00D642D5">
              <w:rPr>
                <w:rFonts w:eastAsiaTheme="minorEastAsia" w:hAnsiTheme="minorEastAsia"/>
                <w:sz w:val="21"/>
                <w:szCs w:val="21"/>
              </w:rPr>
              <w:t>～</w:t>
            </w:r>
            <w:r w:rsidRPr="00D642D5">
              <w:rPr>
                <w:rFonts w:eastAsiaTheme="minorEastAsia"/>
                <w:sz w:val="21"/>
                <w:szCs w:val="21"/>
              </w:rPr>
              <w:t>1</w:t>
            </w:r>
            <w:r w:rsidRPr="00D642D5">
              <w:rPr>
                <w:rFonts w:eastAsiaTheme="minorEastAsia" w:hint="eastAsia"/>
                <w:sz w:val="21"/>
                <w:szCs w:val="21"/>
              </w:rPr>
              <w:t>6</w:t>
            </w:r>
            <w:r w:rsidRPr="00D642D5">
              <w:rPr>
                <w:rFonts w:eastAsiaTheme="minorEastAsia"/>
                <w:sz w:val="21"/>
                <w:szCs w:val="21"/>
              </w:rPr>
              <w:t>:</w:t>
            </w:r>
            <w:r w:rsidR="00EE0B03" w:rsidRPr="00D642D5">
              <w:rPr>
                <w:rFonts w:eastAsiaTheme="minorEastAsia" w:hint="eastAsia"/>
                <w:sz w:val="21"/>
                <w:szCs w:val="21"/>
              </w:rPr>
              <w:t>2</w:t>
            </w:r>
            <w:r w:rsidRPr="00D642D5">
              <w:rPr>
                <w:rFonts w:eastAsiaTheme="minor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EE0B03" w:rsidRPr="00D642D5" w:rsidRDefault="00EE0B03" w:rsidP="00D642D5">
            <w:pPr>
              <w:spacing w:line="280" w:lineRule="exact"/>
              <w:ind w:firstLineChars="200" w:firstLine="420"/>
              <w:rPr>
                <w:rFonts w:eastAsiaTheme="minorEastAsia" w:hAnsiTheme="minorEastAsia" w:hint="eastAsia"/>
                <w:sz w:val="21"/>
                <w:szCs w:val="21"/>
              </w:rPr>
            </w:pPr>
            <w:r w:rsidRPr="00D642D5">
              <w:rPr>
                <w:rFonts w:eastAsiaTheme="minorEastAsia" w:hAnsiTheme="minorEastAsia" w:hint="eastAsia"/>
                <w:sz w:val="21"/>
                <w:szCs w:val="21"/>
              </w:rPr>
              <w:t>审核组与受审核方领导层沟通；</w:t>
            </w:r>
          </w:p>
          <w:p w:rsidR="00B94809" w:rsidRPr="00D642D5" w:rsidRDefault="00EE0B03" w:rsidP="00D642D5">
            <w:pPr>
              <w:spacing w:line="280" w:lineRule="exact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 w:hAnsiTheme="minorEastAsia" w:hint="eastAsia"/>
                <w:sz w:val="21"/>
                <w:szCs w:val="21"/>
              </w:rPr>
              <w:t>末次会：综合评价</w:t>
            </w:r>
            <w:r w:rsidRPr="00D642D5">
              <w:rPr>
                <w:rFonts w:eastAsiaTheme="minorEastAsia" w:hAnsiTheme="minorEastAsia" w:hint="eastAsia"/>
                <w:sz w:val="21"/>
                <w:szCs w:val="21"/>
              </w:rPr>
              <w:t>QMS</w:t>
            </w:r>
            <w:r w:rsidRPr="00D642D5">
              <w:rPr>
                <w:rFonts w:eastAsiaTheme="minorEastAsia" w:hAnsiTheme="minorEastAsia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4809" w:rsidRPr="00D642D5" w:rsidRDefault="00B94809" w:rsidP="00BA1C5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D642D5">
              <w:rPr>
                <w:rFonts w:eastAsiaTheme="minorEastAsia"/>
                <w:sz w:val="21"/>
                <w:szCs w:val="21"/>
              </w:rPr>
              <w:t>A</w:t>
            </w:r>
          </w:p>
        </w:tc>
      </w:tr>
    </w:tbl>
    <w:p w:rsidR="00D642D5" w:rsidRDefault="00D642D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7376B" w:rsidRDefault="00411B6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F7376B" w:rsidRDefault="00411B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F7376B" w:rsidSect="00F7376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4A" w:rsidRDefault="004E784A" w:rsidP="00F7376B">
      <w:r>
        <w:separator/>
      </w:r>
    </w:p>
  </w:endnote>
  <w:endnote w:type="continuationSeparator" w:id="1">
    <w:p w:rsidR="004E784A" w:rsidRDefault="004E784A" w:rsidP="00F7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4A" w:rsidRDefault="004E784A" w:rsidP="00F7376B">
      <w:r>
        <w:separator/>
      </w:r>
    </w:p>
  </w:footnote>
  <w:footnote w:type="continuationSeparator" w:id="1">
    <w:p w:rsidR="004E784A" w:rsidRDefault="004E784A" w:rsidP="00F73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6B" w:rsidRDefault="002E4CC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E4C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F7376B" w:rsidRDefault="00411B6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11B6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1B6A">
      <w:rPr>
        <w:rStyle w:val="CharChar1"/>
        <w:rFonts w:hint="default"/>
      </w:rPr>
      <w:t>北京国标联合认证有限公司</w:t>
    </w:r>
    <w:r w:rsidR="00411B6A">
      <w:rPr>
        <w:rStyle w:val="CharChar1"/>
        <w:rFonts w:hint="default"/>
      </w:rPr>
      <w:tab/>
    </w:r>
    <w:r w:rsidR="00411B6A">
      <w:rPr>
        <w:rStyle w:val="CharChar1"/>
        <w:rFonts w:hint="default"/>
      </w:rPr>
      <w:tab/>
    </w:r>
  </w:p>
  <w:p w:rsidR="00F7376B" w:rsidRDefault="00411B6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76B"/>
    <w:rsid w:val="002E4CCB"/>
    <w:rsid w:val="00411B6A"/>
    <w:rsid w:val="00430F9C"/>
    <w:rsid w:val="004520BF"/>
    <w:rsid w:val="004E784A"/>
    <w:rsid w:val="00B94809"/>
    <w:rsid w:val="00D642D5"/>
    <w:rsid w:val="00E13321"/>
    <w:rsid w:val="00EE0B03"/>
    <w:rsid w:val="00F7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376B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7376B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F737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7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F7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F737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F737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7376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7376B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F7376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7376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F7376B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408</Words>
  <Characters>2330</Characters>
  <Application>Microsoft Office Word</Application>
  <DocSecurity>0</DocSecurity>
  <Lines>19</Lines>
  <Paragraphs>5</Paragraphs>
  <ScaleCrop>false</ScaleCrop>
  <Company>微软中国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2021-11-16T13:41:00Z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