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0380-2020-QEO-2021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重庆太湖锅炉股份有限公司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Q:ISC-Q-2020-1127,E:ISC-E-2020-0752,O:ISC-O-2020-0689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915001187874978739</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Q:25,E:25,O:25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重庆太湖锅炉股份有限公司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Q：锅炉、换热器、压力容器、水处理设备的销售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E：锅炉、换热器、压力容器、水处理设备的销售所涉及场所的相关环境管理活动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O：锅炉、换热器、压力容器、水处理设备的销售所涉及场所的相关职业健康安全管理活动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重庆市永川区星光大道999号1幢(重庆永川工业园区凤凰湖工业园内)</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重庆市九龙坡区科园四路288号申继基会展国际写字楼7-5</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624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2021-10-16T06:22:26Z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