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hint="eastAsia"/>
        </w:rPr>
      </w:pPr>
    </w:p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868"/>
        <w:gridCol w:w="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过程与活动、</w:t>
            </w:r>
          </w:p>
          <w:p>
            <w:pPr>
              <w:jc w:val="center"/>
              <w:rPr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涉及</w:t>
            </w:r>
          </w:p>
          <w:p>
            <w:pPr>
              <w:rPr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条款</w:t>
            </w:r>
          </w:p>
        </w:tc>
        <w:tc>
          <w:tcPr>
            <w:tcW w:w="10868" w:type="dxa"/>
            <w:vAlign w:val="center"/>
          </w:tcPr>
          <w:p>
            <w:pPr>
              <w:rPr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受审核部门：</w:t>
            </w:r>
            <w:r>
              <w:rPr>
                <w:rFonts w:hint="eastAsia"/>
                <w:b/>
                <w:bCs/>
                <w:sz w:val="24"/>
                <w:szCs w:val="24"/>
                <w:highlight w:val="none"/>
                <w:lang w:val="en-US" w:eastAsia="zh-CN"/>
              </w:rPr>
              <w:t>技术质量部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  <w:highlight w:val="none"/>
              </w:rPr>
              <w:t>主管领导/陪同人员</w:t>
            </w:r>
            <w:r>
              <w:rPr>
                <w:rFonts w:hint="eastAsia"/>
                <w:sz w:val="24"/>
                <w:szCs w:val="24"/>
                <w:highlight w:val="none"/>
                <w:lang w:eastAsia="zh-CN"/>
              </w:rPr>
              <w:t>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武建明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唐蔚林</w:t>
            </w:r>
          </w:p>
        </w:tc>
        <w:tc>
          <w:tcPr>
            <w:tcW w:w="721" w:type="dxa"/>
            <w:vMerge w:val="restart"/>
            <w:vAlign w:val="center"/>
          </w:tcPr>
          <w:p>
            <w:pPr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pacing w:before="120"/>
              <w:rPr>
                <w:rFonts w:hint="default"/>
                <w:highlight w:val="none"/>
                <w:lang w:val="en-US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审核员：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 xml:space="preserve">张磊               </w:t>
            </w:r>
            <w:r>
              <w:rPr>
                <w:rFonts w:hint="eastAsia"/>
                <w:sz w:val="24"/>
                <w:szCs w:val="24"/>
                <w:highlight w:val="none"/>
              </w:rPr>
              <w:t>审核时间：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2021.10.17</w:t>
            </w:r>
          </w:p>
        </w:tc>
        <w:tc>
          <w:tcPr>
            <w:tcW w:w="721" w:type="dxa"/>
            <w:vMerge w:val="continue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napToGrid w:val="0"/>
              <w:spacing w:line="240" w:lineRule="exact"/>
              <w:rPr>
                <w:rFonts w:hint="eastAsia" w:ascii="Times New Roman" w:hAnsi="Times New Roman" w:cs="Times New Roman"/>
                <w:sz w:val="20"/>
                <w:lang w:val="de-D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涉及标准条款：</w:t>
            </w:r>
            <w:r>
              <w:rPr>
                <w:rFonts w:hint="eastAsia" w:ascii="Times New Roman" w:hAnsi="Times New Roman" w:cs="Times New Roman"/>
                <w:sz w:val="20"/>
                <w:lang w:val="de-DE"/>
              </w:rPr>
              <w:t>QMS-2015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5.3岗位/职责 /权限；6.2质量目标及其实现的策划；7.1.5监视和测量资源；8.6产品和服务放行；8.7不合格输出的控制；</w:t>
            </w:r>
            <w:r>
              <w:rPr>
                <w:rFonts w:ascii="宋体" w:hAnsi="宋体" w:cs="新宋体"/>
                <w:sz w:val="18"/>
                <w:szCs w:val="18"/>
              </w:rPr>
              <w:t xml:space="preserve"> </w:t>
            </w:r>
          </w:p>
          <w:p>
            <w:pPr>
              <w:snapToGrid w:val="0"/>
              <w:spacing w:line="240" w:lineRule="exact"/>
              <w:rPr>
                <w:rFonts w:hint="eastAsia" w:ascii="Times New Roman" w:hAnsi="Times New Roman" w:cs="Times New Roman"/>
                <w:sz w:val="20"/>
                <w:lang w:val="de-DE"/>
              </w:rPr>
            </w:pPr>
            <w:r>
              <w:rPr>
                <w:rFonts w:hint="eastAsia" w:ascii="Times New Roman" w:hAnsi="Times New Roman" w:cs="Times New Roman"/>
                <w:sz w:val="20"/>
                <w:lang w:val="de-DE"/>
              </w:rPr>
              <w:t xml:space="preserve">EMS-2015 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5.3组织的角色、职责和权限、6.1.2环境因素；6.2目标及其达成的策划；8.1运行策划和控制；8.2应急准备和响应</w:t>
            </w:r>
          </w:p>
          <w:p>
            <w:pPr>
              <w:snapToGrid w:val="0"/>
              <w:spacing w:line="240" w:lineRule="exact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/>
                <w:sz w:val="20"/>
                <w:lang w:val="de-DE"/>
              </w:rPr>
              <w:t>ISO 45001：2018</w:t>
            </w:r>
          </w:p>
          <w:p>
            <w:pPr>
              <w:snapToGrid w:val="0"/>
              <w:spacing w:line="260" w:lineRule="exact"/>
              <w:rPr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5.3组织的角色、职责和权限；6.1.2危险源辨识和职业安全风险评价；6.2目标及其实现的策划；8.1运行策划和控制；8.2应急准备和响应；</w:t>
            </w:r>
          </w:p>
        </w:tc>
        <w:tc>
          <w:tcPr>
            <w:tcW w:w="721" w:type="dxa"/>
            <w:vMerge w:val="continue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组织的岗位职责和权限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QE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5.3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该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部门主要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负责公司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设备的维护保养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工作环境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产品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和技术服务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实现的策划；产品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生产质量和技术服务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的控制、不合格和纠正措施及相应环境和职业健康安全的运行控制。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与部门负责人沟通，了解本部门的职责权限。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目标及其实现的策划总要求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QE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highlight w:val="none"/>
              </w:rPr>
              <w:t>6.2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提供《目标分解表》，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主要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目标有: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TW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TW"/>
              </w:rPr>
              <w:t>数据真实可靠性100%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TW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TW"/>
              </w:rPr>
              <w:t>原材料检测漏检率0%</w:t>
            </w:r>
          </w:p>
          <w:p>
            <w:pPr>
              <w:pStyle w:val="2"/>
              <w:ind w:firstLine="460" w:firstLineChars="200"/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来料检验合格率≥95%</w:t>
            </w:r>
          </w:p>
          <w:p>
            <w:pPr>
              <w:pStyle w:val="2"/>
              <w:numPr>
                <w:ilvl w:val="0"/>
                <w:numId w:val="0"/>
              </w:numPr>
              <w:ind w:firstLine="460" w:firstLineChars="20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固废品处理率100%</w:t>
            </w:r>
          </w:p>
          <w:p>
            <w:pPr>
              <w:spacing w:line="28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厂界噪音达标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</w:rPr>
              <w:t>无火灾、重伤、死亡事故发生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部门分解目标与公司方针一致，可测量，并传达到部门相关人员，必要时适时更新，目前无变化。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提供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“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目标完成情况考核统计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”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，最近一次考核于20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21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，考核统计: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。完成情况：以上各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目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</w:rPr>
              <w:t>标均已达成。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监视和测量资源</w:t>
            </w:r>
          </w:p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Q7.1.5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公司在《监视和测量设备管理程序》中进行了明确的规定，对检定的结果进行记录。</w:t>
            </w:r>
          </w:p>
          <w:p>
            <w:pPr>
              <w:spacing w:line="280" w:lineRule="exact"/>
              <w:ind w:firstLine="420" w:firstLineChars="200"/>
              <w:rPr>
                <w:rFonts w:hint="eastAsia" w:eastAsia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公司提供《监视和测量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设备</w:t>
            </w:r>
            <w:r>
              <w:rPr>
                <w:rFonts w:hint="eastAsia"/>
                <w:sz w:val="21"/>
                <w:szCs w:val="21"/>
                <w:highlight w:val="none"/>
              </w:rPr>
              <w:t>台帐》，主要有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压力表、百分表、千分表、角度尺、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 深度尺、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外径千分尺、游标卡尺</w:t>
            </w:r>
            <w:r>
              <w:rPr>
                <w:rFonts w:hint="eastAsia"/>
                <w:sz w:val="21"/>
                <w:szCs w:val="21"/>
                <w:highlight w:val="none"/>
              </w:rPr>
              <w:t>监视和测量设备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。</w:t>
            </w:r>
            <w:r>
              <w:rPr>
                <w:rFonts w:hint="eastAsia"/>
                <w:sz w:val="21"/>
                <w:szCs w:val="21"/>
                <w:highlight w:val="none"/>
              </w:rPr>
              <w:t>提供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湖南航测检测技术服务有限公司提供的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监测设备</w:t>
            </w:r>
            <w:r>
              <w:rPr>
                <w:rFonts w:hint="eastAsia"/>
                <w:sz w:val="21"/>
                <w:szCs w:val="21"/>
                <w:highlight w:val="none"/>
              </w:rPr>
              <w:t>检定合格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证书及证书号，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详请见附件</w:t>
            </w:r>
            <w:r>
              <w:rPr>
                <w:rFonts w:hint="eastAsia"/>
                <w:sz w:val="21"/>
                <w:szCs w:val="21"/>
                <w:highlight w:val="none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公司监视测量人员设备的保养，按说明书的要求使用人员自行负责。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现场查看监视测量设备使用、调整、搬运和储存均符合要求，查看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百分表、游标卡尺、千分尺等</w:t>
            </w:r>
            <w:r>
              <w:rPr>
                <w:rFonts w:hint="eastAsia"/>
                <w:sz w:val="21"/>
                <w:szCs w:val="21"/>
                <w:highlight w:val="none"/>
              </w:rPr>
              <w:t>无损坏，外观完好。</w:t>
            </w:r>
          </w:p>
          <w:p>
            <w:pPr>
              <w:pStyle w:val="2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查：杠杆百分表，证书编号：HC211013167，校准日期：2021年10月13号</w:t>
            </w:r>
          </w:p>
          <w:p>
            <w:pPr>
              <w:pStyle w:val="2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 xml:space="preserve">    外径千分尺，证书编号：HC211013171，校准日期：2021年10月13号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目前无计算机软件作为监视测量设备。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目前公司无封存和报废监视测量设备。</w:t>
            </w:r>
          </w:p>
        </w:tc>
        <w:tc>
          <w:tcPr>
            <w:tcW w:w="721" w:type="dxa"/>
          </w:tcPr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产品和服务的放行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Q8.6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公司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检验验收依据：国家/行业标准及顾客要求，详见Q8.1。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检验员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武建明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，经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公司人力资源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培训考核合格具备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机床产品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能力，现场审核观察询问，检验员回答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基本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符合规定要求。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进货检验：</w:t>
            </w:r>
          </w:p>
          <w:p>
            <w:pPr>
              <w:numPr>
                <w:ilvl w:val="0"/>
                <w:numId w:val="0"/>
              </w:numPr>
              <w:spacing w:line="280" w:lineRule="exact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    影响产品质量的采购产品主要有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highlight w:val="none"/>
                <w:lang w:eastAsia="zh-CN"/>
              </w:rPr>
              <w:t>床身、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机壳、数控系统、电机等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采购产品到货检验提供了《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进货检验记录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》包括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对采购产品的产品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名称、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规格、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数量、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供方、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到货期、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技术要求、检验员姓名、检验指标、检验结果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等。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抽查2021-3-6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《进货检验记录》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，采购产品:床头箱总成，数量9台，漏油、脱档、外观等，检验结论：合格  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费加凤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40940" cy="5034915"/>
                  <wp:effectExtent l="0" t="0" r="6985" b="10160"/>
                  <wp:docPr id="3" name="图片 3" descr="e584cab974ebba22a628fb75341ac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584cab974ebba22a628fb75341ac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40940" cy="503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-563245</wp:posOffset>
                  </wp:positionV>
                  <wp:extent cx="3697605" cy="5876290"/>
                  <wp:effectExtent l="0" t="0" r="3810" b="10795"/>
                  <wp:wrapNone/>
                  <wp:docPr id="6" name="图片 6" descr="3a6b1b57c4e5381183ff102d63d04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a6b1b57c4e5381183ff102d63d043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0462" b="124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97605" cy="587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抽查2021-3-1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《进货检验记录》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，名称双山尾座铸件，数量80台，尺寸、表面毛刺等，检验结论：合格  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费加凤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；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抽查2021-5-21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《进货检验记录》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 xml:space="preserve">，名称电动润滑泵，数量10台，规格、流量、显示器，检验结论：合格  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检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人：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余悦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495550" cy="5146675"/>
                  <wp:effectExtent l="0" t="0" r="9525" b="6350"/>
                  <wp:docPr id="5" name="图片 5" descr="d3c6b2c8faa31bc872be5297960c5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3c6b2c8faa31bc872be5297960c55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5550" cy="51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2、过程检验：</w:t>
            </w:r>
          </w:p>
          <w:p>
            <w:pPr>
              <w:spacing w:line="280" w:lineRule="exact"/>
              <w:ind w:firstLine="420" w:firstLineChars="200"/>
              <w:rPr>
                <w:rFonts w:hint="default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对生产过程外罩、电柜、操作系统等各工序组装的时间、质量状况进行抽检。详见生产部Q8.5.1</w:t>
            </w:r>
          </w:p>
          <w:p>
            <w:pPr>
              <w:numPr>
                <w:ilvl w:val="0"/>
                <w:numId w:val="1"/>
              </w:numPr>
              <w:spacing w:line="280" w:lineRule="exact"/>
              <w:ind w:left="0" w:leftChars="0" w:firstLine="421" w:firstLineChars="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成品检验：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left="421" w:leftChars="0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检验项目：安装水平，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X、Y、Z轴线运动直线度、角度偏差，主轴轴向窜动，锥孔径向跳动，主轴轴线和Z轴轴线运动间的平行度，主轴轴线和Y轴轴线运动间的垂直度，双向定位精度，镗中心孔的精度，铣正方形四周的精度，铣圆的精度和圆度及外圆和内圆的同轴度，镗四组坐标孔位置精度等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left="421" w:leftChars="0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检验周期频率：对每件产品进行检验。</w:t>
            </w:r>
          </w:p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抽查2021年1月6号，产品型号：JTM-1270，出厂编号：202012607的《合格证明书》</w:t>
            </w: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684145" cy="5535295"/>
                  <wp:effectExtent l="0" t="0" r="8255" b="1905"/>
                  <wp:docPr id="7" name="图片 7" descr="3c439866b55cbdec8c426dada0a3d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c439866b55cbdec8c426dada0a3d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684145" cy="5535295"/>
                  <wp:effectExtent l="0" t="0" r="8255" b="1905"/>
                  <wp:docPr id="8" name="图片 8" descr="3e6840e742e631bb6b0c57895400b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e6840e742e631bb6b0c57895400b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55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3638550" cy="6686550"/>
                  <wp:effectExtent l="0" t="0" r="6350" b="6350"/>
                  <wp:docPr id="9" name="图片 9" descr="6a92f245d6f36bdf4ae0921990b10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a92f245d6f36bdf4ae0921990b10d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108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38550" cy="668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numId w:val="0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numPr>
                <w:ilvl w:val="0"/>
                <w:numId w:val="2"/>
              </w:numP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3230245</wp:posOffset>
                  </wp:positionH>
                  <wp:positionV relativeFrom="paragraph">
                    <wp:posOffset>330835</wp:posOffset>
                  </wp:positionV>
                  <wp:extent cx="2684145" cy="4352925"/>
                  <wp:effectExtent l="0" t="0" r="8255" b="3175"/>
                  <wp:wrapNone/>
                  <wp:docPr id="12" name="图片 12" descr="c89d0800d4480dc5e6e3b090bac1c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89d0800d4480dc5e6e3b090bac1c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8604" b="12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565785</wp:posOffset>
                  </wp:positionV>
                  <wp:extent cx="2684145" cy="4344035"/>
                  <wp:effectExtent l="0" t="0" r="8255" b="12065"/>
                  <wp:wrapNone/>
                  <wp:docPr id="11" name="图片 11" descr="8149103eb21c0471e50c0db6f500a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149103eb21c0471e50c0db6f500a7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4489" b="70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434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抽查2021.年3月15号，产品型号：6156</w:t>
            </w:r>
            <w:r>
              <w:rPr>
                <w:rFonts w:hint="default" w:ascii="Arial" w:hAnsi="Arial" w:cs="Arial"/>
                <w:sz w:val="21"/>
                <w:szCs w:val="21"/>
                <w:highlight w:val="none"/>
                <w:lang w:val="en-US" w:eastAsia="zh-CN"/>
              </w:rPr>
              <w:t>×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1000，出厂编号：2021079的《几何精度检验报告》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461895" cy="5076825"/>
                  <wp:effectExtent l="0" t="0" r="3175" b="1905"/>
                  <wp:docPr id="13" name="图片 13" descr="b7ac0d1be15ea68b348d376169bd2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7ac0d1be15ea68b348d376169bd2f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61895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424430" cy="4447540"/>
                  <wp:effectExtent l="0" t="0" r="10160" b="1270"/>
                  <wp:docPr id="14" name="图片 14" descr="fd199dad8864230087ccd2408b234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d199dad8864230087ccd2408b2344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449" b="55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24430" cy="444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spacing w:line="280" w:lineRule="exact"/>
              <w:ind w:left="0" w:leftChars="0" w:firstLine="421" w:firstLineChars="0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委托检验。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left="421" w:leftChars="0"/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1"/>
                <w:highlight w:val="none"/>
                <w:lang w:eastAsia="zh-CN"/>
              </w:rPr>
              <w:t>无。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不合格品控制</w:t>
            </w:r>
          </w:p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highlight w:val="none"/>
              </w:rPr>
              <w:t>Q8.7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公司在《不合格品控制程序》中，对不合格品的处置方式、处置的职责和权限、不合格的评审方式、让步接受的办法及责任部门等均作了规定，抽查：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采购产品不合格品处置：一般作退货或调换处理，目前无。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/>
                <w:sz w:val="21"/>
                <w:szCs w:val="21"/>
                <w:highlight w:val="none"/>
              </w:rPr>
              <w:t>过程不合格品处置：一般返工处理，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目前无</w:t>
            </w:r>
            <w:r>
              <w:rPr>
                <w:rFonts w:hint="eastAsia"/>
                <w:sz w:val="21"/>
                <w:szCs w:val="21"/>
                <w:highlight w:val="none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产品不合格品处置：一般返工处理，目前无。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环境因素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危险源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E</w:t>
            </w:r>
            <w:r>
              <w:rPr>
                <w:rFonts w:hint="eastAsia"/>
                <w:bCs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/>
                <w:bCs/>
                <w:sz w:val="21"/>
                <w:szCs w:val="21"/>
                <w:highlight w:val="none"/>
              </w:rPr>
              <w:t>6.1.2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编制了《环境因素识别与评价控制程序》，采用是非判断法，规定重大环境因素评定。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提供《环境因素识别评价表》对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和办公活动生命周期全过程分别进行排查，考虑了大气污染、噪声污染、土壤污染、水污染、废弃物污染、能源和资源消耗、火灾等方面；从过去、现在、将来三种时态；正常、异常和紧急三种。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过程中的环境因素，除了本身在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中的环境因素外，公司也识别了能够施加影响的供方和客户的环境因素。另外，在采购产品的运输、使用、寿命结束后处理和最终处置相关的潜在重大环境影响。本部门识别的各区域环境因素有：噪声排放、固体废弃物排放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粉尘、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潜在火灾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水电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能源消耗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等。重要环境因素识别有：火灾、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固废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环境因素识别经核实，基本齐全。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编制了《危险源辨识和风险评价程序》，采用危险源级别判定标准，规定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重大危险源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判定。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提供《危险源辨识和风险评价表》对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各过程和办公活动分别进行辨识，考虑了触电、职业病伤害、意外伤害、火灾等方面；从过去、现在、将来三种时态；正常、异常和紧急三种状态识别危险源。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本部门识别的各区域危险源有：触电、意外伤害、火灾、交通事故等。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重大危险源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识别有：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触电、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火灾、意外伤害。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危险源识别经核实，基本齐全。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运行控制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E</w:t>
            </w:r>
            <w:r>
              <w:rPr>
                <w:rFonts w:hint="eastAsia"/>
                <w:bCs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/>
                <w:bCs/>
                <w:sz w:val="21"/>
                <w:szCs w:val="21"/>
                <w:highlight w:val="none"/>
              </w:rPr>
              <w:t>8.1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编制与环境、安全体系运行控制有关的文件有《环境运行控制程序》、《职业健康安全运行控制程序》、《相关方管理程序》等。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现场查见：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废水管控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检验过程无废水废液产生。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生活污水排放政府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污水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管网统一处理。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废气管控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color w:val="0000FF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检验过程无废气产生。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噪声管控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过程选用了低噪声的设备和工具，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同时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在厂房内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生产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，加强设备的检查和维保，确保机械设备在正常工况下运行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，周围无环境敏感点。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固废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1"/>
              <w:rPr>
                <w:rFonts w:hint="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检验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过程中主要为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拆包装桶和包装袋，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技质部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将以上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固废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放置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公司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固定位置，积攒一定量后出售有处理能力的单位</w:t>
            </w:r>
            <w:r>
              <w:rPr>
                <w:rFonts w:hint="eastAsia"/>
                <w:sz w:val="21"/>
                <w:szCs w:val="21"/>
                <w:highlight w:val="none"/>
              </w:rPr>
              <w:t>回收再利用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spacing w:line="280" w:lineRule="exact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资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能源管控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：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color w:val="000000"/>
              </w:rPr>
              <w:t>能源、资源消耗控制：在</w:t>
            </w:r>
            <w:r>
              <w:rPr>
                <w:rFonts w:hint="eastAsia" w:ascii="宋体" w:hAnsi="宋体"/>
                <w:color w:val="000000"/>
                <w:lang w:eastAsia="zh-CN"/>
              </w:rPr>
              <w:t>检验</w:t>
            </w:r>
            <w:r>
              <w:rPr>
                <w:rFonts w:hint="eastAsia" w:ascii="宋体" w:hAnsi="宋体"/>
                <w:color w:val="000000"/>
              </w:rPr>
              <w:t>过程中合理安排</w:t>
            </w:r>
            <w:r>
              <w:rPr>
                <w:rFonts w:hint="eastAsia" w:ascii="宋体" w:hAnsi="宋体"/>
                <w:color w:val="000000"/>
                <w:lang w:eastAsia="zh-CN"/>
              </w:rPr>
              <w:t>避免无序、重复检验</w:t>
            </w:r>
            <w:r>
              <w:rPr>
                <w:rFonts w:hint="eastAsia" w:ascii="宋体" w:hAnsi="宋体"/>
                <w:color w:val="000000"/>
              </w:rPr>
              <w:t>；现场杜绝用水跑冒滴漏，采用节水阀门和节能灯等节能设备。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潜在火灾管控</w:t>
            </w:r>
          </w:p>
          <w:p>
            <w:pPr>
              <w:spacing w:line="400" w:lineRule="exact"/>
              <w:ind w:firstLine="420" w:firstLineChars="200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技质部楼道配有消防栓</w:t>
            </w:r>
            <w:r>
              <w:rPr>
                <w:rFonts w:hint="eastAsia"/>
                <w:szCs w:val="21"/>
                <w:lang w:val="en-US" w:eastAsia="zh-CN"/>
              </w:rPr>
              <w:t>、</w:t>
            </w:r>
            <w:r>
              <w:rPr>
                <w:rFonts w:hint="eastAsia"/>
                <w:szCs w:val="21"/>
              </w:rPr>
              <w:t>灭火器，均在有效期内，经了解未发生过触电和火灾事故</w:t>
            </w:r>
            <w:r>
              <w:rPr>
                <w:szCs w:val="21"/>
              </w:rPr>
              <w:t>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职业健康安全管控：</w:t>
            </w:r>
          </w:p>
          <w:p>
            <w:pPr>
              <w:spacing w:line="280" w:lineRule="exact"/>
              <w:ind w:firstLine="421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发放安全帽、工服、手套等劳保，</w:t>
            </w:r>
            <w:r>
              <w:rPr>
                <w:rFonts w:hint="eastAsia"/>
                <w:szCs w:val="21"/>
                <w:lang w:eastAsia="zh-CN"/>
              </w:rPr>
              <w:t>并能穿戴。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Cs w:val="21"/>
              </w:rPr>
              <w:t>提供公司与员工签订的劳动合同，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见审核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该条款记录。</w:t>
            </w:r>
          </w:p>
          <w:p>
            <w:pPr>
              <w:spacing w:line="280" w:lineRule="exact"/>
              <w:ind w:firstLine="421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/>
                <w:szCs w:val="21"/>
              </w:rPr>
              <w:t>经了解</w:t>
            </w:r>
            <w:r>
              <w:rPr>
                <w:szCs w:val="21"/>
              </w:rPr>
              <w:t>公司为职工缴纳</w:t>
            </w:r>
            <w:r>
              <w:rPr>
                <w:rFonts w:hint="eastAsia"/>
                <w:szCs w:val="21"/>
                <w:lang w:eastAsia="zh-CN"/>
              </w:rPr>
              <w:t>社保</w:t>
            </w:r>
            <w:r>
              <w:rPr>
                <w:rFonts w:hint="eastAsia"/>
                <w:szCs w:val="21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见审核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该条款记录。</w:t>
            </w:r>
          </w:p>
          <w:p>
            <w:pPr>
              <w:spacing w:line="280" w:lineRule="exact"/>
              <w:ind w:firstLine="421" w:firstLineChars="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按有关程序和要求通报供方和顾客，采用〈告知函〉方式通报。查到相关方告知书。</w:t>
            </w:r>
          </w:p>
          <w:p>
            <w:pPr>
              <w:spacing w:line="400" w:lineRule="exact"/>
              <w:ind w:firstLine="420" w:firstLineChars="200"/>
              <w:rPr>
                <w:szCs w:val="21"/>
              </w:rPr>
            </w:pPr>
            <w:r>
              <w:rPr>
                <w:szCs w:val="21"/>
              </w:rPr>
              <w:t>经了解未发生相关方造成的环境污染以及职业健康安全问题情况。</w:t>
            </w:r>
          </w:p>
          <w:p>
            <w:pPr>
              <w:spacing w:line="280" w:lineRule="exact"/>
              <w:ind w:firstLine="421" w:firstLineChars="0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运行控制基本有效。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应急准备和相应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Cs/>
                <w:sz w:val="21"/>
                <w:szCs w:val="21"/>
                <w:highlight w:val="none"/>
              </w:rPr>
              <w:t>E</w:t>
            </w:r>
            <w:r>
              <w:rPr>
                <w:rFonts w:hint="eastAsia"/>
                <w:bCs/>
                <w:sz w:val="21"/>
                <w:szCs w:val="21"/>
                <w:highlight w:val="none"/>
                <w:lang w:val="en-US" w:eastAsia="zh-CN"/>
              </w:rPr>
              <w:t>O</w:t>
            </w:r>
            <w:r>
              <w:rPr>
                <w:rFonts w:hint="eastAsia"/>
                <w:bCs/>
                <w:sz w:val="21"/>
                <w:szCs w:val="21"/>
                <w:highlight w:val="none"/>
              </w:rPr>
              <w:t>8.2</w:t>
            </w:r>
          </w:p>
          <w:p>
            <w:pPr>
              <w:spacing w:line="280" w:lineRule="exact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10868" w:type="dxa"/>
            <w:vAlign w:val="top"/>
          </w:tcPr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参加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组织的应急培训和演练，详见审核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eastAsia="zh-CN"/>
              </w:rPr>
              <w:t>管理部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</w:rPr>
              <w:t>该条款记录。</w:t>
            </w:r>
          </w:p>
        </w:tc>
        <w:tc>
          <w:tcPr>
            <w:tcW w:w="721" w:type="dxa"/>
          </w:tcPr>
          <w:p>
            <w:pPr>
              <w:rPr>
                <w:highlight w:val="none"/>
              </w:rPr>
            </w:pPr>
          </w:p>
        </w:tc>
      </w:tr>
    </w:tbl>
    <w:p>
      <w:pPr>
        <w:pStyle w:val="7"/>
      </w:pPr>
      <w:r>
        <w:rPr>
          <w:rFonts w:hint="eastAsia"/>
        </w:rPr>
        <w:t>说明：不符合标注N</w:t>
      </w: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p>
      <w:pPr>
        <w:pStyle w:val="7"/>
        <w:rPr>
          <w:rFonts w:hint="eastAsia"/>
        </w:rPr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8"/>
      <w:pBdr>
        <w:bottom w:val="none" w:color="auto" w:sz="0" w:space="1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6350" b="1016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8235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lang w:eastAsia="zh-CN"/>
                            </w:rPr>
                            <w:t>O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C-B-I-19 管理体系审核记录表(03版)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62336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EGquXWAAAACgEAAA8AAAAAAAAAAQAgAAAAIgAA&#10;AGRycy9kb3ducmV2LnhtbFBLAQIUABQAAAAIAIdO4kCPdkp10QEAAI4DAAAOAAAAAAAAAAEAIAAA&#10;ACUBAABkcnMvZTJvRG9jLnhtbFBLBQYAAAAABgAGAFkBAABoBQAAAAA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  <w:lang w:eastAsia="zh-CN"/>
                      </w:rPr>
                      <w:t>O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C-B-I-19 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4"/>
        <w:rFonts w:hint="default"/>
      </w:rPr>
      <w:t xml:space="preserve">        </w:t>
    </w:r>
    <w:r>
      <w:rPr>
        <w:rStyle w:val="14"/>
        <w:rFonts w:hint="default"/>
        <w:w w:val="90"/>
      </w:rPr>
      <w:t xml:space="preserve">Beijing International </w:t>
    </w:r>
    <w:r>
      <w:rPr>
        <w:rStyle w:val="14"/>
        <w:rFonts w:hint="eastAsia"/>
        <w:w w:val="90"/>
      </w:rPr>
      <w:t>O</w:t>
    </w:r>
    <w:r>
      <w:rPr>
        <w:rStyle w:val="14"/>
        <w:rFonts w:hint="default"/>
        <w:w w:val="90"/>
      </w:rPr>
      <w:t>tandard united Certification Co.,Ltd.</w:t>
    </w:r>
    <w:r>
      <w:rPr>
        <w:rStyle w:val="14"/>
        <w:rFonts w:hint="default"/>
        <w:w w:val="90"/>
        <w:szCs w:val="21"/>
      </w:rPr>
      <w:t xml:space="preserve">  </w:t>
    </w:r>
    <w:r>
      <w:rPr>
        <w:rStyle w:val="14"/>
        <w:rFonts w:hint="default"/>
        <w:w w:val="90"/>
        <w:sz w:val="20"/>
      </w:rPr>
      <w:t xml:space="preserve"> </w:t>
    </w:r>
    <w:r>
      <w:rPr>
        <w:rStyle w:val="14"/>
        <w:rFonts w:hint="default"/>
        <w:w w:val="90"/>
      </w:rPr>
      <w:t xml:space="preserve">                   </w:t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97934B"/>
    <w:multiLevelType w:val="singleLevel"/>
    <w:tmpl w:val="A69793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50680E"/>
    <w:multiLevelType w:val="singleLevel"/>
    <w:tmpl w:val="0150680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B4"/>
    <w:rsid w:val="000237F6"/>
    <w:rsid w:val="0003373A"/>
    <w:rsid w:val="001A2D7F"/>
    <w:rsid w:val="00337922"/>
    <w:rsid w:val="00340867"/>
    <w:rsid w:val="00380837"/>
    <w:rsid w:val="003A198A"/>
    <w:rsid w:val="00410914"/>
    <w:rsid w:val="004D532C"/>
    <w:rsid w:val="00536930"/>
    <w:rsid w:val="00564E53"/>
    <w:rsid w:val="00644FE2"/>
    <w:rsid w:val="0067640C"/>
    <w:rsid w:val="006E678B"/>
    <w:rsid w:val="007757F3"/>
    <w:rsid w:val="007E6AEB"/>
    <w:rsid w:val="008973EE"/>
    <w:rsid w:val="00971600"/>
    <w:rsid w:val="009973B4"/>
    <w:rsid w:val="009C28C1"/>
    <w:rsid w:val="009F7EED"/>
    <w:rsid w:val="00AF0AAB"/>
    <w:rsid w:val="00BF597E"/>
    <w:rsid w:val="00C51A36"/>
    <w:rsid w:val="00C55228"/>
    <w:rsid w:val="00CE315A"/>
    <w:rsid w:val="00D06F59"/>
    <w:rsid w:val="00D8388C"/>
    <w:rsid w:val="00EB0164"/>
    <w:rsid w:val="00ED0F62"/>
    <w:rsid w:val="03011590"/>
    <w:rsid w:val="0320505F"/>
    <w:rsid w:val="04510B7D"/>
    <w:rsid w:val="08BF0232"/>
    <w:rsid w:val="08E60B71"/>
    <w:rsid w:val="0A8D103E"/>
    <w:rsid w:val="0ACE1CBC"/>
    <w:rsid w:val="0B451C47"/>
    <w:rsid w:val="0B4E6612"/>
    <w:rsid w:val="0E3E43E5"/>
    <w:rsid w:val="0E673B3C"/>
    <w:rsid w:val="0E891764"/>
    <w:rsid w:val="0F413AC7"/>
    <w:rsid w:val="108219C2"/>
    <w:rsid w:val="108A0D67"/>
    <w:rsid w:val="117E71EC"/>
    <w:rsid w:val="12245DB8"/>
    <w:rsid w:val="136314F4"/>
    <w:rsid w:val="13CA12D3"/>
    <w:rsid w:val="13CE6575"/>
    <w:rsid w:val="141304FE"/>
    <w:rsid w:val="14257908"/>
    <w:rsid w:val="14D454BA"/>
    <w:rsid w:val="14FD6176"/>
    <w:rsid w:val="15D53416"/>
    <w:rsid w:val="162B5F34"/>
    <w:rsid w:val="179470C0"/>
    <w:rsid w:val="188C6160"/>
    <w:rsid w:val="19BD6015"/>
    <w:rsid w:val="1A5C1BE8"/>
    <w:rsid w:val="1B3E39A3"/>
    <w:rsid w:val="1B71487F"/>
    <w:rsid w:val="1B9E43FA"/>
    <w:rsid w:val="1BD854B1"/>
    <w:rsid w:val="1BEC3BF1"/>
    <w:rsid w:val="1D85741F"/>
    <w:rsid w:val="1DE60924"/>
    <w:rsid w:val="1E847499"/>
    <w:rsid w:val="1F063599"/>
    <w:rsid w:val="1F1F7BA7"/>
    <w:rsid w:val="1FD7676E"/>
    <w:rsid w:val="23557E88"/>
    <w:rsid w:val="274E61F5"/>
    <w:rsid w:val="2767752B"/>
    <w:rsid w:val="27DF7CD6"/>
    <w:rsid w:val="28563B5D"/>
    <w:rsid w:val="2C703113"/>
    <w:rsid w:val="2EE93C61"/>
    <w:rsid w:val="2FEB299B"/>
    <w:rsid w:val="32691255"/>
    <w:rsid w:val="32C11AD5"/>
    <w:rsid w:val="34041CDB"/>
    <w:rsid w:val="3438524B"/>
    <w:rsid w:val="34B32935"/>
    <w:rsid w:val="35C75C9A"/>
    <w:rsid w:val="375F34D7"/>
    <w:rsid w:val="37FB7F90"/>
    <w:rsid w:val="39952144"/>
    <w:rsid w:val="3AD826FA"/>
    <w:rsid w:val="3BD4497A"/>
    <w:rsid w:val="3C9E5B10"/>
    <w:rsid w:val="3DAD6D4F"/>
    <w:rsid w:val="3F0F3C1B"/>
    <w:rsid w:val="40285D69"/>
    <w:rsid w:val="414D774F"/>
    <w:rsid w:val="41842DAE"/>
    <w:rsid w:val="418A49D1"/>
    <w:rsid w:val="440643B1"/>
    <w:rsid w:val="44D10776"/>
    <w:rsid w:val="466F33FE"/>
    <w:rsid w:val="46B97919"/>
    <w:rsid w:val="48800E04"/>
    <w:rsid w:val="489C542B"/>
    <w:rsid w:val="494C5676"/>
    <w:rsid w:val="4ABE4B71"/>
    <w:rsid w:val="4BFF3076"/>
    <w:rsid w:val="4D943D2E"/>
    <w:rsid w:val="4E95570D"/>
    <w:rsid w:val="4EC64F08"/>
    <w:rsid w:val="4FF9693C"/>
    <w:rsid w:val="50886C2D"/>
    <w:rsid w:val="51543C71"/>
    <w:rsid w:val="52390AC9"/>
    <w:rsid w:val="56135BAC"/>
    <w:rsid w:val="56390FCA"/>
    <w:rsid w:val="58322D49"/>
    <w:rsid w:val="592F0962"/>
    <w:rsid w:val="59D5213B"/>
    <w:rsid w:val="5A526EF4"/>
    <w:rsid w:val="5AAA27E4"/>
    <w:rsid w:val="5BCC76FD"/>
    <w:rsid w:val="5BE53841"/>
    <w:rsid w:val="5CAB10AC"/>
    <w:rsid w:val="5CB37300"/>
    <w:rsid w:val="5DAB4DE2"/>
    <w:rsid w:val="5DE6570D"/>
    <w:rsid w:val="5EA12B9A"/>
    <w:rsid w:val="5ED74E33"/>
    <w:rsid w:val="5FF65830"/>
    <w:rsid w:val="63606581"/>
    <w:rsid w:val="65B47E80"/>
    <w:rsid w:val="661149EF"/>
    <w:rsid w:val="6612664F"/>
    <w:rsid w:val="66B7462A"/>
    <w:rsid w:val="68AC04FF"/>
    <w:rsid w:val="69EA7EC1"/>
    <w:rsid w:val="6A23146B"/>
    <w:rsid w:val="6BAC184E"/>
    <w:rsid w:val="6CA45EE1"/>
    <w:rsid w:val="6D53402F"/>
    <w:rsid w:val="70205029"/>
    <w:rsid w:val="702D7970"/>
    <w:rsid w:val="71065FD8"/>
    <w:rsid w:val="7333596B"/>
    <w:rsid w:val="73A00EA2"/>
    <w:rsid w:val="75A8368A"/>
    <w:rsid w:val="761F43CB"/>
    <w:rsid w:val="76373F2B"/>
    <w:rsid w:val="76E27F87"/>
    <w:rsid w:val="77310DBF"/>
    <w:rsid w:val="78741EB2"/>
    <w:rsid w:val="79C04904"/>
    <w:rsid w:val="79E2643B"/>
    <w:rsid w:val="7A3A268E"/>
    <w:rsid w:val="7B5C61FD"/>
    <w:rsid w:val="7C4566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Body Text Indent"/>
    <w:basedOn w:val="1"/>
    <w:qFormat/>
    <w:uiPriority w:val="0"/>
    <w:pPr>
      <w:ind w:firstLine="480" w:firstLineChars="200"/>
    </w:pPr>
    <w:rPr>
      <w:sz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 w:val="21"/>
    </w:rPr>
  </w:style>
  <w:style w:type="paragraph" w:styleId="6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页眉 Char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5">
    <w:name w:val="_Style 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86</Characters>
  <Lines>1</Lines>
  <Paragraphs>1</Paragraphs>
  <TotalTime>0</TotalTime>
  <ScaleCrop>false</ScaleCrop>
  <LinksUpToDate>false</LinksUpToDate>
  <CharactersWithSpaces>100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春华秋实</cp:lastModifiedBy>
  <dcterms:modified xsi:type="dcterms:W3CDTF">2021-10-16T07:41:53Z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F0DA830CB4864BD78C41F22A3D8A3B4E</vt:lpwstr>
  </property>
</Properties>
</file>