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受审核部门：财务部 </w:t>
            </w:r>
            <w:r>
              <w:rPr>
                <w:rFonts w:hint="eastAsia"/>
                <w:sz w:val="24"/>
                <w:szCs w:val="24"/>
                <w:lang w:val="en-US" w:eastAsia="zh-CN"/>
              </w:rPr>
              <w:t xml:space="preserve">   </w:t>
            </w:r>
            <w:r>
              <w:rPr>
                <w:rFonts w:hint="eastAsia"/>
                <w:sz w:val="24"/>
                <w:szCs w:val="24"/>
              </w:rPr>
              <w:t>主管领导：</w:t>
            </w:r>
            <w:r>
              <w:rPr>
                <w:rFonts w:hint="eastAsia"/>
              </w:rPr>
              <w:t xml:space="preserve">徐永芹     </w:t>
            </w:r>
            <w:r>
              <w:rPr>
                <w:rFonts w:hint="eastAsia"/>
                <w:sz w:val="24"/>
                <w:szCs w:val="24"/>
              </w:rPr>
              <w:t>陪同人员：</w:t>
            </w:r>
            <w:r>
              <w:rPr>
                <w:rFonts w:hint="eastAsia" w:ascii="宋体" w:hAnsi="宋体" w:cs="宋体"/>
                <w:sz w:val="24"/>
                <w:szCs w:val="24"/>
              </w:rPr>
              <w:t>刘月</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周文  </w:t>
            </w:r>
            <w:r>
              <w:rPr>
                <w:sz w:val="24"/>
                <w:szCs w:val="24"/>
              </w:rPr>
              <w:t xml:space="preserve">         </w:t>
            </w:r>
            <w:r>
              <w:rPr>
                <w:rFonts w:hint="eastAsia"/>
                <w:sz w:val="24"/>
                <w:szCs w:val="24"/>
              </w:rPr>
              <w:t>审核时间：202</w:t>
            </w:r>
            <w:r>
              <w:rPr>
                <w:rFonts w:hint="eastAsia"/>
                <w:sz w:val="24"/>
                <w:szCs w:val="24"/>
                <w:lang w:val="en-US" w:eastAsia="zh-CN"/>
              </w:rPr>
              <w:t>1</w:t>
            </w:r>
            <w:r>
              <w:rPr>
                <w:rFonts w:hint="eastAsia"/>
                <w:sz w:val="24"/>
                <w:szCs w:val="24"/>
              </w:rPr>
              <w:t>.10.</w:t>
            </w:r>
            <w:r>
              <w:rPr>
                <w:rFonts w:hint="eastAsia"/>
                <w:sz w:val="24"/>
                <w:szCs w:val="24"/>
                <w:lang w:val="en-US" w:eastAsia="zh-CN"/>
              </w:rPr>
              <w:t>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宋体"/>
                <w:szCs w:val="21"/>
              </w:rPr>
              <w:t xml:space="preserve"> EMS: 5.3组织的岗位、职责和权限、6.2环境目标、6.1.2环境因素辨识与评价、8.1运行策划和控制，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tc>
        <w:tc>
          <w:tcPr>
            <w:tcW w:w="960" w:type="dxa"/>
          </w:tcPr>
          <w:p>
            <w:pPr>
              <w:spacing w:line="280" w:lineRule="exact"/>
              <w:rPr>
                <w:rFonts w:ascii="宋体" w:hAnsi="宋体" w:cs="宋体"/>
                <w:szCs w:val="21"/>
              </w:rPr>
            </w:pPr>
            <w:r>
              <w:rPr>
                <w:rFonts w:hint="eastAsia" w:ascii="宋体" w:hAnsi="宋体" w:cs="宋体"/>
                <w:szCs w:val="21"/>
              </w:rPr>
              <w:t>5.3</w:t>
            </w:r>
          </w:p>
        </w:tc>
        <w:tc>
          <w:tcPr>
            <w:tcW w:w="10004" w:type="dxa"/>
          </w:tcPr>
          <w:p>
            <w:pPr>
              <w:spacing w:line="280" w:lineRule="exact"/>
              <w:rPr>
                <w:rFonts w:ascii="宋体" w:hAnsi="宋体" w:cs="宋体"/>
                <w:color w:val="000000"/>
                <w:szCs w:val="21"/>
              </w:rPr>
            </w:pPr>
            <w:r>
              <w:rPr>
                <w:rFonts w:hint="eastAsia" w:ascii="宋体" w:hAnsi="宋体" w:cs="宋体"/>
                <w:color w:val="000000"/>
                <w:szCs w:val="21"/>
              </w:rPr>
              <w:t>人员和岗位设置：</w:t>
            </w:r>
          </w:p>
          <w:p>
            <w:pPr>
              <w:spacing w:line="280" w:lineRule="exact"/>
              <w:rPr>
                <w:rFonts w:ascii="宋体" w:hAnsi="宋体" w:cs="宋体"/>
                <w:color w:val="000000"/>
                <w:szCs w:val="21"/>
              </w:rPr>
            </w:pPr>
            <w:r>
              <w:rPr>
                <w:rFonts w:hint="eastAsia" w:ascii="宋体" w:hAnsi="宋体" w:cs="宋体"/>
                <w:color w:val="000000"/>
                <w:szCs w:val="21"/>
              </w:rPr>
              <w:t xml:space="preserve">部门共2人、其中经理1名、其他出纳； </w:t>
            </w:r>
          </w:p>
          <w:p>
            <w:pPr>
              <w:spacing w:line="280" w:lineRule="exact"/>
              <w:rPr>
                <w:rFonts w:ascii="宋体" w:hAnsi="宋体" w:cs="Arial"/>
                <w:spacing w:val="-6"/>
                <w:szCs w:val="21"/>
              </w:rPr>
            </w:pPr>
            <w:r>
              <w:rPr>
                <w:rFonts w:hint="eastAsia" w:ascii="宋体" w:hAnsi="宋体" w:cs="宋体"/>
                <w:szCs w:val="21"/>
              </w:rPr>
              <w:t xml:space="preserve">职责和权限：主要负责涉及财务部的职责和权限有以下方面：财务负责为管理体系提供资金支持，为管理方案、管理体系培训、消防器器材和应急演练、各种问题活动等提供资金保障。部门及岗位的职责权限能够协调有序，并能覆盖本部门所有管理活动。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环境目标</w:t>
            </w:r>
          </w:p>
        </w:tc>
        <w:tc>
          <w:tcPr>
            <w:tcW w:w="960" w:type="dxa"/>
          </w:tcPr>
          <w:p>
            <w:pPr>
              <w:spacing w:line="280" w:lineRule="exact"/>
              <w:rPr>
                <w:rFonts w:ascii="宋体" w:hAnsi="宋体" w:cs="宋体"/>
                <w:szCs w:val="21"/>
              </w:rPr>
            </w:pPr>
            <w:r>
              <w:rPr>
                <w:rFonts w:hint="eastAsia" w:ascii="宋体" w:hAnsi="宋体" w:cs="宋体"/>
                <w:szCs w:val="21"/>
              </w:rPr>
              <w:t>6.2</w:t>
            </w:r>
          </w:p>
        </w:tc>
        <w:tc>
          <w:tcPr>
            <w:tcW w:w="10004" w:type="dxa"/>
          </w:tcPr>
          <w:p>
            <w:pPr>
              <w:spacing w:line="280" w:lineRule="exact"/>
              <w:rPr>
                <w:rFonts w:ascii="宋体" w:hAnsi="宋体" w:cs="宋体"/>
                <w:szCs w:val="21"/>
              </w:rPr>
            </w:pPr>
            <w:r>
              <w:rPr>
                <w:rFonts w:hint="eastAsia" w:ascii="宋体" w:hAnsi="宋体" w:cs="宋体"/>
                <w:szCs w:val="21"/>
              </w:rPr>
              <w:t>管理目标：</w:t>
            </w:r>
          </w:p>
          <w:p>
            <w:pPr>
              <w:spacing w:line="28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TW"/>
              </w:rPr>
              <w:t>保证用于环境和职业健康费用专款专用</w:t>
            </w:r>
            <w:r>
              <w:rPr>
                <w:rFonts w:hint="eastAsia" w:ascii="宋体" w:hAnsi="宋体" w:cs="宋体"/>
                <w:szCs w:val="21"/>
              </w:rPr>
              <w:t>及时统计环境绩效统计率100%、固体废弃物分类收集，固废分类集中处理率100%</w:t>
            </w:r>
            <w:r>
              <w:rPr>
                <w:rFonts w:hint="eastAsia" w:ascii="宋体" w:hAnsi="宋体" w:cs="宋体"/>
                <w:szCs w:val="21"/>
                <w:lang w:eastAsia="zh-TW"/>
              </w:rPr>
              <w:t>。</w:t>
            </w:r>
            <w:r>
              <w:rPr>
                <w:rFonts w:hint="eastAsia" w:ascii="宋体" w:hAnsi="宋体" w:cs="宋体"/>
                <w:szCs w:val="21"/>
              </w:rPr>
              <w:t xml:space="preserve"> 安全用电避免事故发生0次”——目标可测量。提供202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1-9月</w:t>
            </w:r>
            <w:r>
              <w:rPr>
                <w:rFonts w:hint="eastAsia" w:ascii="宋体" w:hAnsi="宋体" w:cs="宋体"/>
                <w:szCs w:val="21"/>
              </w:rPr>
              <w:t>管理目标完成情况，各项目标已完成。考核综合部，审批</w:t>
            </w:r>
            <w:r>
              <w:rPr>
                <w:rFonts w:hint="eastAsia"/>
              </w:rPr>
              <w:t>刘月</w:t>
            </w: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160" w:type="dxa"/>
          </w:tcPr>
          <w:p>
            <w:pPr>
              <w:spacing w:line="280" w:lineRule="exact"/>
              <w:rPr>
                <w:rFonts w:ascii="宋体" w:hAnsi="宋体" w:cs="宋体"/>
                <w:szCs w:val="21"/>
              </w:rPr>
            </w:pPr>
            <w:r>
              <w:rPr>
                <w:rFonts w:hint="eastAsia" w:ascii="宋体" w:hAnsi="宋体" w:cs="宋体"/>
                <w:szCs w:val="21"/>
              </w:rPr>
              <w:t>环境因素辨识与评价</w:t>
            </w:r>
          </w:p>
        </w:tc>
        <w:tc>
          <w:tcPr>
            <w:tcW w:w="960" w:type="dxa"/>
          </w:tcPr>
          <w:p>
            <w:pPr>
              <w:spacing w:line="280" w:lineRule="exact"/>
              <w:rPr>
                <w:rFonts w:ascii="宋体" w:hAnsi="宋体" w:cs="宋体"/>
                <w:szCs w:val="21"/>
              </w:rPr>
            </w:pPr>
            <w:r>
              <w:rPr>
                <w:rFonts w:hint="eastAsia" w:ascii="宋体" w:hAnsi="宋体" w:cs="宋体"/>
                <w:szCs w:val="21"/>
              </w:rPr>
              <w:t>6.1.2</w:t>
            </w:r>
          </w:p>
        </w:tc>
        <w:tc>
          <w:tcPr>
            <w:tcW w:w="10004" w:type="dxa"/>
            <w:vAlign w:val="center"/>
          </w:tcPr>
          <w:p>
            <w:pPr>
              <w:spacing w:line="280" w:lineRule="exact"/>
              <w:ind w:firstLine="420" w:firstLineChars="200"/>
              <w:rPr>
                <w:rFonts w:hint="eastAsia"/>
                <w:sz w:val="21"/>
                <w:szCs w:val="21"/>
              </w:rPr>
            </w:pPr>
            <w:r>
              <w:rPr>
                <w:rFonts w:hint="eastAsia"/>
                <w:sz w:val="21"/>
                <w:szCs w:val="21"/>
                <w:lang w:val="en-US" w:eastAsia="zh-CN"/>
              </w:rPr>
              <w:t>按《</w:t>
            </w:r>
            <w:r>
              <w:rPr>
                <w:rFonts w:hint="eastAsia"/>
                <w:sz w:val="21"/>
                <w:szCs w:val="21"/>
              </w:rPr>
              <w:t>环境因素识别评价管理程序</w:t>
            </w:r>
            <w:r>
              <w:rPr>
                <w:rFonts w:hint="eastAsia"/>
                <w:sz w:val="21"/>
                <w:szCs w:val="21"/>
                <w:lang w:val="en-US" w:eastAsia="zh-CN"/>
              </w:rPr>
              <w:t>》</w:t>
            </w:r>
            <w:r>
              <w:rPr>
                <w:rFonts w:hint="eastAsia"/>
                <w:sz w:val="21"/>
                <w:szCs w:val="21"/>
              </w:rPr>
              <w:t>进行环境因素的识别、登记评价，以确定重要环境因素以及对环境因素的定期更新，环境因素的识别和确定考虑生命周期观点。</w:t>
            </w:r>
          </w:p>
          <w:p>
            <w:pPr>
              <w:spacing w:line="280" w:lineRule="exact"/>
              <w:ind w:firstLine="420" w:firstLineChars="200"/>
              <w:rPr>
                <w:rFonts w:hint="eastAsia" w:eastAsia="宋体"/>
                <w:sz w:val="21"/>
                <w:szCs w:val="21"/>
                <w:lang w:eastAsia="zh-CN"/>
              </w:rPr>
            </w:pPr>
            <w:r>
              <w:rPr>
                <w:rFonts w:hint="eastAsia"/>
                <w:sz w:val="21"/>
                <w:szCs w:val="21"/>
              </w:rPr>
              <w:t>提供了“环境因素调查表”，识别的环境因素标明时态、状态和对环境的影响；经查阅识别出对在办公活动中产生的纸张消耗、</w:t>
            </w:r>
            <w:r>
              <w:rPr>
                <w:rFonts w:hint="eastAsia"/>
                <w:sz w:val="21"/>
                <w:szCs w:val="21"/>
                <w:lang w:val="en-US" w:eastAsia="zh-CN"/>
              </w:rPr>
              <w:t>生活垃圾、废墨盒、废硒鼓等固废</w:t>
            </w:r>
            <w:r>
              <w:rPr>
                <w:rFonts w:hint="eastAsia"/>
                <w:sz w:val="21"/>
                <w:szCs w:val="21"/>
              </w:rPr>
              <w:t>、生活废水排放等环境因素及考虑到环境管理体系发生变更时可能产生的环境因素。编制：</w:t>
            </w:r>
            <w:r>
              <w:rPr>
                <w:rFonts w:hint="eastAsia"/>
                <w:sz w:val="21"/>
                <w:szCs w:val="21"/>
                <w:lang w:eastAsia="zh-CN"/>
              </w:rPr>
              <w:t>刘月</w:t>
            </w:r>
            <w:r>
              <w:rPr>
                <w:rFonts w:hint="eastAsia"/>
                <w:sz w:val="21"/>
                <w:szCs w:val="21"/>
              </w:rPr>
              <w:t xml:space="preserve">   批准：</w:t>
            </w:r>
            <w:r>
              <w:rPr>
                <w:rFonts w:hint="eastAsia"/>
                <w:sz w:val="21"/>
                <w:szCs w:val="21"/>
                <w:lang w:eastAsia="zh-CN"/>
              </w:rPr>
              <w:t>王淑清</w:t>
            </w:r>
            <w:r>
              <w:rPr>
                <w:rFonts w:hint="eastAsia"/>
                <w:sz w:val="21"/>
                <w:szCs w:val="21"/>
              </w:rPr>
              <w:t xml:space="preserve"> </w:t>
            </w:r>
          </w:p>
          <w:p>
            <w:pPr>
              <w:spacing w:line="280" w:lineRule="exact"/>
              <w:ind w:firstLine="420" w:firstLineChars="200"/>
              <w:rPr>
                <w:rFonts w:hint="eastAsia" w:eastAsia="宋体"/>
                <w:sz w:val="21"/>
                <w:szCs w:val="21"/>
                <w:lang w:eastAsia="zh-CN"/>
              </w:rPr>
            </w:pPr>
            <w:r>
              <w:rPr>
                <w:rFonts w:hint="eastAsia"/>
                <w:sz w:val="21"/>
                <w:szCs w:val="21"/>
              </w:rPr>
              <w:t>重要环境因素采用经验/直接判断法，由各部门有管理经验的人员共同讨论、采用直接判断的方法确定重要环境因素，提供了“重要环境因素清单”：本部门的重要环境因素：火灾</w:t>
            </w:r>
            <w:r>
              <w:rPr>
                <w:rFonts w:hint="eastAsia"/>
                <w:sz w:val="21"/>
                <w:szCs w:val="21"/>
                <w:lang w:eastAsia="zh-CN"/>
              </w:rPr>
              <w:t>、</w:t>
            </w:r>
            <w:r>
              <w:rPr>
                <w:rFonts w:hint="eastAsia"/>
                <w:sz w:val="21"/>
                <w:szCs w:val="21"/>
                <w:lang w:val="en-US" w:eastAsia="zh-CN"/>
              </w:rPr>
              <w:t>固废排放</w:t>
            </w:r>
            <w:r>
              <w:rPr>
                <w:rFonts w:hint="eastAsia"/>
                <w:sz w:val="21"/>
                <w:szCs w:val="21"/>
              </w:rPr>
              <w:t>；编制：</w:t>
            </w:r>
            <w:r>
              <w:rPr>
                <w:rFonts w:hint="eastAsia"/>
                <w:sz w:val="21"/>
                <w:szCs w:val="21"/>
                <w:lang w:eastAsia="zh-CN"/>
              </w:rPr>
              <w:t>刘月</w:t>
            </w:r>
            <w:r>
              <w:rPr>
                <w:rFonts w:hint="eastAsia"/>
                <w:sz w:val="21"/>
                <w:szCs w:val="21"/>
              </w:rPr>
              <w:t xml:space="preserve">    批准：</w:t>
            </w:r>
            <w:r>
              <w:rPr>
                <w:rFonts w:hint="eastAsia"/>
                <w:sz w:val="21"/>
                <w:szCs w:val="21"/>
                <w:lang w:eastAsia="zh-CN"/>
              </w:rPr>
              <w:t>王淑清</w:t>
            </w:r>
            <w:r>
              <w:rPr>
                <w:rFonts w:hint="eastAsia"/>
                <w:sz w:val="21"/>
                <w:szCs w:val="21"/>
              </w:rPr>
              <w:t xml:space="preserve"> </w:t>
            </w:r>
          </w:p>
          <w:p>
            <w:pPr>
              <w:spacing w:line="280" w:lineRule="exact"/>
              <w:ind w:firstLine="420" w:firstLineChars="200"/>
              <w:rPr>
                <w:rFonts w:ascii="宋体" w:hAnsi="宋体" w:cs="宋体"/>
                <w:szCs w:val="21"/>
              </w:rPr>
            </w:pPr>
            <w:r>
              <w:rPr>
                <w:rFonts w:hint="eastAsia"/>
                <w:sz w:val="21"/>
                <w:szCs w:val="21"/>
                <w:lang w:eastAsia="zh-CN"/>
              </w:rPr>
              <w:t>环境因素识别和</w:t>
            </w:r>
            <w:r>
              <w:rPr>
                <w:rFonts w:hint="eastAsia"/>
                <w:sz w:val="21"/>
                <w:szCs w:val="21"/>
              </w:rPr>
              <w:t>重要环境因素</w:t>
            </w:r>
            <w:r>
              <w:rPr>
                <w:rFonts w:hint="eastAsia"/>
                <w:sz w:val="21"/>
                <w:szCs w:val="21"/>
                <w:lang w:eastAsia="zh-CN"/>
              </w:rPr>
              <w:t>评价基本符合标准要求。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160" w:type="dxa"/>
          </w:tcPr>
          <w:p>
            <w:pPr>
              <w:spacing w:line="280" w:lineRule="exact"/>
              <w:rPr>
                <w:rFonts w:ascii="宋体" w:hAnsi="宋体" w:cs="宋体"/>
                <w:szCs w:val="21"/>
              </w:rPr>
            </w:pPr>
            <w:r>
              <w:rPr>
                <w:rFonts w:hint="eastAsia" w:ascii="宋体" w:hAnsi="宋体" w:cs="宋体"/>
                <w:szCs w:val="21"/>
              </w:rPr>
              <w:t>运行策划和控制</w:t>
            </w:r>
          </w:p>
        </w:tc>
        <w:tc>
          <w:tcPr>
            <w:tcW w:w="960" w:type="dxa"/>
          </w:tcPr>
          <w:p>
            <w:pPr>
              <w:spacing w:line="280" w:lineRule="exact"/>
              <w:rPr>
                <w:rFonts w:ascii="宋体" w:hAnsi="宋体" w:cs="宋体"/>
                <w:szCs w:val="21"/>
              </w:rPr>
            </w:pPr>
            <w:r>
              <w:rPr>
                <w:rFonts w:hint="eastAsia" w:ascii="宋体" w:hAnsi="宋体" w:cs="宋体"/>
                <w:szCs w:val="21"/>
              </w:rPr>
              <w:t>8.1</w:t>
            </w:r>
          </w:p>
        </w:tc>
        <w:tc>
          <w:tcPr>
            <w:tcW w:w="10004" w:type="dxa"/>
          </w:tcPr>
          <w:p>
            <w:pPr>
              <w:spacing w:line="280" w:lineRule="exact"/>
              <w:rPr>
                <w:rFonts w:ascii="宋体" w:hAnsi="宋体" w:cs="宋体"/>
                <w:szCs w:val="21"/>
              </w:rPr>
            </w:pPr>
            <w:r>
              <w:rPr>
                <w:rFonts w:hint="eastAsia" w:ascii="宋体" w:hAnsi="宋体" w:cs="宋体"/>
                <w:szCs w:val="21"/>
                <w:u w:val="single"/>
              </w:rPr>
              <w:t>办公现场</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（1）办公室区域：污水：不涉及污水，没有污水排放；</w:t>
            </w:r>
          </w:p>
          <w:p>
            <w:pPr>
              <w:spacing w:line="280" w:lineRule="exact"/>
              <w:rPr>
                <w:rFonts w:ascii="宋体" w:hAnsi="宋体" w:cs="宋体"/>
                <w:szCs w:val="21"/>
              </w:rPr>
            </w:pPr>
            <w:r>
              <w:rPr>
                <w:rFonts w:hint="eastAsia" w:ascii="宋体" w:hAnsi="宋体" w:cs="宋体"/>
                <w:szCs w:val="21"/>
              </w:rPr>
              <w:t>（2）噪声：办公现场不产生明显噪声。</w:t>
            </w:r>
          </w:p>
          <w:p>
            <w:pPr>
              <w:spacing w:line="280" w:lineRule="exact"/>
              <w:rPr>
                <w:rFonts w:ascii="宋体" w:hAnsi="宋体" w:cs="宋体"/>
                <w:szCs w:val="21"/>
              </w:rPr>
            </w:pPr>
            <w:r>
              <w:rPr>
                <w:rFonts w:hint="eastAsia" w:ascii="宋体" w:hAnsi="宋体" w:cs="宋体"/>
                <w:szCs w:val="21"/>
              </w:rPr>
              <w:t>（3）固废：固体废物主要是办公产生废纸张等，配置了纸篓；办公用纸由行政部负责，复印、打印耗材都有行政统一负责，集中处置。</w:t>
            </w:r>
          </w:p>
          <w:p>
            <w:pPr>
              <w:spacing w:line="280" w:lineRule="exact"/>
              <w:rPr>
                <w:rFonts w:ascii="宋体" w:hAnsi="宋体" w:cs="宋体"/>
                <w:szCs w:val="21"/>
              </w:rPr>
            </w:pPr>
            <w:r>
              <w:rPr>
                <w:rFonts w:hint="eastAsia" w:ascii="宋体" w:hAnsi="宋体" w:cs="宋体"/>
                <w:szCs w:val="21"/>
              </w:rPr>
              <w:t>（4）现场查看办公区域，整洁、光线充足、室内空气良好、配置有空调，办公条件较好，办公设备安全状态良好，教育员工正确使用办公设备，现场用电基本规范，无乱拉线现象，防止火灾发生。</w:t>
            </w:r>
          </w:p>
          <w:p>
            <w:pPr>
              <w:spacing w:line="280" w:lineRule="exact"/>
              <w:rPr>
                <w:rFonts w:ascii="宋体" w:hAnsi="宋体" w:cs="宋体"/>
                <w:szCs w:val="21"/>
              </w:rPr>
            </w:pPr>
            <w:r>
              <w:rPr>
                <w:rFonts w:hint="eastAsia" w:ascii="宋体" w:hAnsi="宋体" w:cs="宋体"/>
                <w:szCs w:val="21"/>
              </w:rPr>
              <w:t>（5）办公过程注意节约用电，做到人走灯灭，电脑长时间不用时关机，下班前要关闭电源，防止触电。</w:t>
            </w:r>
          </w:p>
          <w:p>
            <w:pPr>
              <w:spacing w:line="280" w:lineRule="exact"/>
              <w:rPr>
                <w:rFonts w:ascii="宋体" w:hAnsi="宋体" w:cs="宋体"/>
                <w:szCs w:val="21"/>
              </w:rPr>
            </w:pPr>
            <w:r>
              <w:rPr>
                <w:rFonts w:hint="eastAsia" w:ascii="宋体" w:hAnsi="宋体" w:cs="宋体"/>
                <w:szCs w:val="21"/>
              </w:rPr>
              <w:t>（6）办公区域禁止吸烟，现场查看办公区域环境整洁、宽敞、办公设备状态良好、无安全隐患，办公区域配备有效的干粉灭火器。</w:t>
            </w:r>
          </w:p>
          <w:p>
            <w:pPr>
              <w:spacing w:line="280" w:lineRule="exact"/>
              <w:rPr>
                <w:rFonts w:ascii="宋体" w:hAnsi="宋体" w:cs="宋体"/>
                <w:szCs w:val="21"/>
              </w:rPr>
            </w:pPr>
            <w:r>
              <w:rPr>
                <w:rFonts w:hint="eastAsia" w:ascii="宋体" w:hAnsi="宋体" w:cs="宋体"/>
                <w:szCs w:val="21"/>
              </w:rPr>
              <w:t>（7）工作时间平均每天不超过8小时；</w:t>
            </w:r>
          </w:p>
          <w:p>
            <w:pPr>
              <w:spacing w:line="280" w:lineRule="exact"/>
              <w:rPr>
                <w:rFonts w:ascii="宋体" w:hAnsi="宋体" w:cs="宋体"/>
                <w:szCs w:val="21"/>
              </w:rPr>
            </w:pPr>
            <w:r>
              <w:rPr>
                <w:rFonts w:hint="eastAsia" w:ascii="宋体" w:hAnsi="宋体" w:cs="宋体"/>
                <w:szCs w:val="21"/>
              </w:rPr>
              <w:t>（8）现场查看办公区域配备符合要求的消防设施；</w:t>
            </w:r>
          </w:p>
          <w:p>
            <w:pPr>
              <w:spacing w:line="280" w:lineRule="exact"/>
              <w:rPr>
                <w:rFonts w:ascii="宋体" w:hAnsi="宋体" w:cs="宋体"/>
                <w:szCs w:val="21"/>
              </w:rPr>
            </w:pPr>
          </w:p>
          <w:p>
            <w:pPr>
              <w:spacing w:line="280" w:lineRule="exact"/>
              <w:ind w:firstLine="421"/>
              <w:rPr>
                <w:rFonts w:hint="eastAsia" w:ascii="宋体" w:hAnsi="宋体" w:cs="宋体"/>
                <w:sz w:val="21"/>
                <w:szCs w:val="21"/>
                <w:lang w:val="en-US" w:eastAsia="zh-CN"/>
              </w:rPr>
            </w:pPr>
            <w:r>
              <w:rPr>
                <w:rFonts w:hint="eastAsia" w:ascii="宋体" w:hAnsi="宋体" w:cs="宋体"/>
                <w:sz w:val="21"/>
                <w:szCs w:val="21"/>
                <w:lang w:eastAsia="zh-CN"/>
              </w:rPr>
              <w:t>环境投入包括消防器材采购保养、垃圾处理等费用共</w:t>
            </w:r>
            <w:r>
              <w:rPr>
                <w:rFonts w:hint="eastAsia" w:ascii="宋体" w:hAnsi="宋体" w:cs="宋体"/>
                <w:sz w:val="21"/>
                <w:szCs w:val="21"/>
                <w:lang w:val="en-US" w:eastAsia="zh-CN"/>
              </w:rPr>
              <w:t>5500元</w:t>
            </w:r>
          </w:p>
          <w:p>
            <w:pPr>
              <w:spacing w:line="280" w:lineRule="exact"/>
              <w:ind w:firstLine="421"/>
              <w:rPr>
                <w:rFonts w:hint="default" w:ascii="宋体" w:hAnsi="宋体" w:cs="宋体"/>
                <w:sz w:val="21"/>
                <w:szCs w:val="21"/>
                <w:lang w:val="en-US" w:eastAsia="zh-CN"/>
              </w:rPr>
            </w:pPr>
            <w:r>
              <w:rPr>
                <w:rFonts w:hint="eastAsia" w:ascii="宋体" w:hAnsi="宋体" w:cs="宋体"/>
                <w:sz w:val="21"/>
                <w:szCs w:val="21"/>
                <w:lang w:val="en-US" w:eastAsia="zh-CN"/>
              </w:rPr>
              <w:t>水电</w:t>
            </w:r>
            <w:r>
              <w:rPr>
                <w:rFonts w:hint="eastAsia" w:ascii="宋体" w:hAnsi="宋体" w:cs="宋体"/>
                <w:color w:val="auto"/>
                <w:sz w:val="21"/>
                <w:szCs w:val="21"/>
                <w:lang w:val="en-US" w:eastAsia="zh-CN"/>
              </w:rPr>
              <w:t>消耗抽1-9月水电费约30万元。</w:t>
            </w:r>
          </w:p>
          <w:p>
            <w:pPr>
              <w:spacing w:line="280" w:lineRule="exact"/>
              <w:rPr>
                <w:rFonts w:ascii="宋体" w:hAnsi="宋体" w:cs="宋体"/>
                <w:szCs w:val="21"/>
              </w:rPr>
            </w:pPr>
            <w:r>
              <w:rPr>
                <w:rFonts w:hint="eastAsia" w:ascii="宋体" w:hAnsi="宋体" w:cs="宋体"/>
                <w:sz w:val="21"/>
                <w:szCs w:val="21"/>
                <w:lang w:val="en-US" w:eastAsia="zh-CN"/>
              </w:rPr>
              <w:t>运行控制基本符合要求。</w:t>
            </w:r>
            <w:bookmarkStart w:id="0" w:name="_GoBack"/>
            <w:bookmarkEnd w:id="0"/>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68"/>
    <w:rsid w:val="00211C7B"/>
    <w:rsid w:val="00531587"/>
    <w:rsid w:val="00D50968"/>
    <w:rsid w:val="09C85B6B"/>
    <w:rsid w:val="0BE55D22"/>
    <w:rsid w:val="10A33F38"/>
    <w:rsid w:val="1C676F0C"/>
    <w:rsid w:val="27C9070A"/>
    <w:rsid w:val="3886658C"/>
    <w:rsid w:val="4047456A"/>
    <w:rsid w:val="469318E0"/>
    <w:rsid w:val="4F310C65"/>
    <w:rsid w:val="50862AC2"/>
    <w:rsid w:val="50AA1FE6"/>
    <w:rsid w:val="57980D96"/>
    <w:rsid w:val="57B215D9"/>
    <w:rsid w:val="5C017C38"/>
    <w:rsid w:val="5D350BE5"/>
    <w:rsid w:val="5E312EB7"/>
    <w:rsid w:val="5E4F2B01"/>
    <w:rsid w:val="62E772C9"/>
    <w:rsid w:val="68660A2A"/>
    <w:rsid w:val="6FEF21AA"/>
    <w:rsid w:val="70A52A65"/>
    <w:rsid w:val="75F8011B"/>
    <w:rsid w:val="7B0516F7"/>
    <w:rsid w:val="7C6169A7"/>
    <w:rsid w:val="7FC81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ody Text Indent"/>
    <w:basedOn w:val="1"/>
    <w:qFormat/>
    <w:uiPriority w:val="0"/>
    <w:pPr>
      <w:ind w:firstLine="420"/>
    </w:pPr>
    <w:rPr>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211</Words>
  <Characters>1205</Characters>
  <Lines>10</Lines>
  <Paragraphs>2</Paragraphs>
  <TotalTime>0</TotalTime>
  <ScaleCrop>false</ScaleCrop>
  <LinksUpToDate>false</LinksUpToDate>
  <CharactersWithSpaces>1414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2021-10-15T08:44:58Z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65150847370945BE928471F1C13EE296</vt:lpwstr>
  </property>
</Properties>
</file>