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keepNext w:val="0"/>
              <w:keepLines w:val="0"/>
              <w:pageBreakBefore w:val="0"/>
              <w:widowControl w:val="0"/>
              <w:kinsoku/>
              <w:wordWrap/>
              <w:overflowPunct/>
              <w:topLinePunct w:val="0"/>
              <w:autoSpaceDE/>
              <w:autoSpaceDN/>
              <w:bidi w:val="0"/>
              <w:spacing w:after="0" w:line="360" w:lineRule="auto"/>
              <w:jc w:val="center"/>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spacing w:after="0" w:line="360" w:lineRule="auto"/>
              <w:jc w:val="center"/>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spacing w:after="0" w:line="360" w:lineRule="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spacing w:after="0" w:line="360" w:lineRule="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spacing w:after="0" w:line="360" w:lineRule="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领导层/安全事务代表</w:t>
            </w:r>
            <w:r>
              <w:rPr>
                <w:rFonts w:hint="eastAsia"/>
                <w:sz w:val="24"/>
                <w:szCs w:val="24"/>
              </w:rPr>
              <w:t xml:space="preserve"> </w:t>
            </w:r>
            <w:r>
              <w:rPr>
                <w:sz w:val="24"/>
                <w:szCs w:val="24"/>
              </w:rPr>
              <w:t xml:space="preserve"> </w:t>
            </w:r>
            <w:r>
              <w:rPr>
                <w:rFonts w:hint="eastAsia"/>
                <w:sz w:val="24"/>
                <w:szCs w:val="24"/>
              </w:rPr>
              <w:t>主管领导：</w:t>
            </w:r>
            <w:bookmarkStart w:id="0" w:name="管理者代表"/>
            <w:r>
              <w:rPr>
                <w:rFonts w:hint="eastAsia"/>
                <w:sz w:val="24"/>
                <w:szCs w:val="24"/>
              </w:rPr>
              <w:t>石仕义</w:t>
            </w:r>
            <w:bookmarkEnd w:id="0"/>
            <w:r>
              <w:rPr>
                <w:rFonts w:hint="eastAsia"/>
                <w:sz w:val="24"/>
                <w:szCs w:val="24"/>
              </w:rPr>
              <w:t xml:space="preserve"> </w:t>
            </w:r>
            <w:r>
              <w:rPr>
                <w:rFonts w:hint="eastAsia"/>
                <w:sz w:val="24"/>
                <w:szCs w:val="24"/>
                <w:lang w:val="en-US" w:eastAsia="zh-CN"/>
              </w:rPr>
              <w:t>夏启龙</w:t>
            </w:r>
            <w:r>
              <w:rPr>
                <w:sz w:val="24"/>
                <w:szCs w:val="24"/>
              </w:rPr>
              <w:t xml:space="preserve">  </w:t>
            </w:r>
            <w:r>
              <w:rPr>
                <w:rFonts w:hint="eastAsia"/>
                <w:sz w:val="24"/>
                <w:szCs w:val="24"/>
              </w:rPr>
              <w:t>陪同人员：</w:t>
            </w:r>
          </w:p>
        </w:tc>
        <w:tc>
          <w:tcPr>
            <w:tcW w:w="1585" w:type="dxa"/>
            <w:vMerge w:val="restart"/>
            <w:vAlign w:val="center"/>
          </w:tcPr>
          <w:p>
            <w:pPr>
              <w:keepNext w:val="0"/>
              <w:keepLines w:val="0"/>
              <w:pageBreakBefore w:val="0"/>
              <w:widowControl w:val="0"/>
              <w:kinsoku/>
              <w:wordWrap/>
              <w:overflowPunct/>
              <w:topLinePunct w:val="0"/>
              <w:autoSpaceDE/>
              <w:autoSpaceDN/>
              <w:bidi w:val="0"/>
              <w:spacing w:after="0"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960"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10004" w:type="dxa"/>
            <w:vAlign w:val="center"/>
          </w:tcPr>
          <w:p>
            <w:pPr>
              <w:keepNext w:val="0"/>
              <w:keepLines w:val="0"/>
              <w:pageBreakBefore w:val="0"/>
              <w:widowControl w:val="0"/>
              <w:kinsoku/>
              <w:wordWrap/>
              <w:overflowPunct/>
              <w:topLinePunct w:val="0"/>
              <w:autoSpaceDE/>
              <w:autoSpaceDN/>
              <w:bidi w:val="0"/>
              <w:spacing w:after="0" w:line="360" w:lineRule="auto"/>
            </w:pPr>
            <w:r>
              <w:rPr>
                <w:rFonts w:hint="eastAsia"/>
                <w:sz w:val="24"/>
                <w:szCs w:val="24"/>
              </w:rPr>
              <w:t>审核员：</w:t>
            </w:r>
            <w:bookmarkStart w:id="1" w:name="审核组成员不含组长"/>
            <w:r>
              <w:rPr>
                <w:rFonts w:hint="eastAsia"/>
                <w:sz w:val="24"/>
                <w:szCs w:val="24"/>
                <w:lang w:val="en-US" w:eastAsia="zh-CN"/>
              </w:rPr>
              <w:t xml:space="preserve">褚敏杰  </w:t>
            </w:r>
            <w:r>
              <w:rPr>
                <w:rFonts w:hint="eastAsia"/>
                <w:sz w:val="24"/>
                <w:szCs w:val="24"/>
              </w:rPr>
              <w:t>石泽龙</w:t>
            </w:r>
            <w:bookmarkEnd w:id="1"/>
            <w:r>
              <w:rPr>
                <w:rFonts w:hint="eastAsia"/>
                <w:sz w:val="24"/>
                <w:szCs w:val="24"/>
              </w:rPr>
              <w:t xml:space="preserve"> </w:t>
            </w:r>
            <w:r>
              <w:rPr>
                <w:sz w:val="24"/>
                <w:szCs w:val="24"/>
              </w:rPr>
              <w:t xml:space="preserve">         </w:t>
            </w:r>
            <w:r>
              <w:rPr>
                <w:rFonts w:hint="eastAsia"/>
                <w:sz w:val="24"/>
                <w:szCs w:val="24"/>
              </w:rPr>
              <w:t>审核</w:t>
            </w:r>
            <w:r>
              <w:rPr>
                <w:rFonts w:hint="eastAsia" w:ascii="Times New Roman" w:hAnsi="Times New Roman" w:eastAsia="宋体" w:cs="Times New Roman"/>
                <w:sz w:val="24"/>
                <w:szCs w:val="24"/>
                <w:lang w:val="en-US" w:eastAsia="zh-CN"/>
              </w:rPr>
              <w:t>时间：</w:t>
            </w:r>
            <w:r>
              <w:rPr>
                <w:rFonts w:hint="eastAsia" w:cs="Times New Roman"/>
                <w:sz w:val="24"/>
                <w:szCs w:val="24"/>
                <w:lang w:val="en-US" w:eastAsia="zh-CN"/>
              </w:rPr>
              <w:t>2021.10.14</w:t>
            </w:r>
          </w:p>
        </w:tc>
        <w:tc>
          <w:tcPr>
            <w:tcW w:w="1585" w:type="dxa"/>
            <w:vMerge w:val="continue"/>
          </w:tcPr>
          <w:p>
            <w:pPr>
              <w:keepNext w:val="0"/>
              <w:keepLines w:val="0"/>
              <w:pageBreakBefore w:val="0"/>
              <w:widowControl w:val="0"/>
              <w:kinsoku/>
              <w:wordWrap/>
              <w:overflowPunct/>
              <w:topLinePunct w:val="0"/>
              <w:autoSpaceDE/>
              <w:autoSpaceDN/>
              <w:bidi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960"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10004" w:type="dxa"/>
            <w:vAlign w:val="center"/>
          </w:tcPr>
          <w:p>
            <w:pPr>
              <w:keepNext w:val="0"/>
              <w:keepLines w:val="0"/>
              <w:pageBreakBefore w:val="0"/>
              <w:widowControl w:val="0"/>
              <w:kinsoku/>
              <w:wordWrap/>
              <w:overflowPunct/>
              <w:topLinePunct w:val="0"/>
              <w:autoSpaceDE/>
              <w:autoSpaceDN/>
              <w:bidi w:val="0"/>
              <w:spacing w:after="0" w:line="360" w:lineRule="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rPr>
              <w:t>E</w:t>
            </w:r>
            <w:r>
              <w:rPr>
                <w:rFonts w:hint="eastAsia" w:ascii="宋体" w:hAnsi="宋体" w:eastAsia="宋体" w:cs="Arial"/>
                <w:color w:val="auto"/>
                <w:spacing w:val="-6"/>
                <w:sz w:val="21"/>
                <w:szCs w:val="21"/>
                <w:lang w:val="en-US" w:eastAsia="zh-CN"/>
              </w:rPr>
              <w:t>/O</w:t>
            </w:r>
            <w:r>
              <w:rPr>
                <w:rFonts w:hint="eastAsia" w:ascii="宋体" w:hAnsi="宋体" w:eastAsia="宋体" w:cs="Arial"/>
                <w:color w:val="auto"/>
                <w:spacing w:val="-6"/>
                <w:sz w:val="21"/>
                <w:szCs w:val="21"/>
              </w:rPr>
              <w:t>：4.1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4.2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4.3</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4.4</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5.1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5.2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5.3</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6.1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6.2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7.1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7.4</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9.3</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10.1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10.3</w:t>
            </w:r>
          </w:p>
          <w:p>
            <w:pPr>
              <w:keepNext w:val="0"/>
              <w:keepLines w:val="0"/>
              <w:pageBreakBefore w:val="0"/>
              <w:widowControl w:val="0"/>
              <w:kinsoku/>
              <w:wordWrap/>
              <w:overflowPunct/>
              <w:topLinePunct w:val="0"/>
              <w:autoSpaceDE/>
              <w:autoSpaceDN/>
              <w:bidi w:val="0"/>
              <w:spacing w:after="0" w:line="240" w:lineRule="auto"/>
              <w:rPr>
                <w:rFonts w:hint="eastAsia"/>
                <w:sz w:val="24"/>
                <w:szCs w:val="24"/>
              </w:rPr>
            </w:pPr>
            <w:r>
              <w:rPr>
                <w:rFonts w:hint="eastAsia" w:ascii="宋体" w:hAnsi="宋体" w:eastAsia="宋体" w:cs="Arial"/>
                <w:color w:val="auto"/>
                <w:spacing w:val="-6"/>
                <w:sz w:val="21"/>
                <w:szCs w:val="21"/>
              </w:rPr>
              <w:t>O：</w:t>
            </w:r>
            <w:r>
              <w:rPr>
                <w:rFonts w:hint="eastAsia" w:ascii="宋体" w:hAnsi="宋体" w:eastAsia="宋体" w:cs="Arial"/>
                <w:color w:val="auto"/>
                <w:spacing w:val="-6"/>
                <w:sz w:val="21"/>
                <w:szCs w:val="21"/>
                <w:lang w:val="en-US" w:eastAsia="zh-CN"/>
              </w:rPr>
              <w:t>5.4</w:t>
            </w:r>
          </w:p>
        </w:tc>
        <w:tc>
          <w:tcPr>
            <w:tcW w:w="1585" w:type="dxa"/>
            <w:vMerge w:val="continue"/>
          </w:tcPr>
          <w:p>
            <w:pPr>
              <w:keepNext w:val="0"/>
              <w:keepLines w:val="0"/>
              <w:pageBreakBefore w:val="0"/>
              <w:widowControl w:val="0"/>
              <w:kinsoku/>
              <w:wordWrap/>
              <w:overflowPunct/>
              <w:topLinePunct w:val="0"/>
              <w:autoSpaceDE/>
              <w:autoSpaceDN/>
              <w:bidi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理解组织及其环境</w:t>
            </w:r>
          </w:p>
        </w:tc>
        <w:tc>
          <w:tcPr>
            <w:tcW w:w="960" w:type="dxa"/>
            <w:vAlign w:val="top"/>
          </w:tcPr>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EO:</w:t>
            </w:r>
            <w:r>
              <w:rPr>
                <w:rFonts w:hint="eastAsia" w:ascii="宋体" w:hAnsi="宋体" w:cs="Arial"/>
                <w:spacing w:val="-6"/>
                <w:sz w:val="21"/>
                <w:szCs w:val="21"/>
              </w:rPr>
              <w:t>4.1</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lang w:val="de-DE"/>
              </w:rPr>
            </w:pPr>
            <w:r>
              <w:rPr>
                <w:rFonts w:hint="eastAsia" w:ascii="宋体" w:hAnsi="宋体" w:eastAsia="宋体" w:cs="Arial"/>
                <w:color w:val="auto"/>
                <w:spacing w:val="-6"/>
                <w:sz w:val="21"/>
                <w:szCs w:val="21"/>
                <w:highlight w:val="none"/>
                <w:lang w:val="de-DE" w:eastAsia="zh-CN"/>
              </w:rPr>
              <w:t>江西白莲智能科技集团有限公司</w:t>
            </w:r>
            <w:r>
              <w:rPr>
                <w:rFonts w:hint="eastAsia" w:ascii="宋体" w:hAnsi="宋体" w:cs="Arial"/>
                <w:color w:val="auto"/>
                <w:spacing w:val="-6"/>
                <w:sz w:val="21"/>
                <w:szCs w:val="21"/>
                <w:highlight w:val="none"/>
                <w:lang w:val="en-US" w:eastAsia="zh-CN"/>
              </w:rPr>
              <w:t>成立于2002年05月23日</w:t>
            </w:r>
            <w:r>
              <w:rPr>
                <w:rFonts w:hint="eastAsia" w:ascii="宋体" w:hAnsi="宋体" w:eastAsia="宋体" w:cs="Arial"/>
                <w:color w:val="auto"/>
                <w:spacing w:val="-6"/>
                <w:sz w:val="21"/>
                <w:szCs w:val="21"/>
                <w:highlight w:val="none"/>
                <w:lang w:val="de-DE"/>
              </w:rPr>
              <w:t>；注册资金</w:t>
            </w:r>
            <w:r>
              <w:rPr>
                <w:rFonts w:hint="eastAsia" w:ascii="宋体" w:hAnsi="宋体" w:cs="Arial"/>
                <w:color w:val="auto"/>
                <w:spacing w:val="-6"/>
                <w:sz w:val="21"/>
                <w:szCs w:val="21"/>
                <w:highlight w:val="none"/>
                <w:lang w:val="en-US" w:eastAsia="zh-CN"/>
              </w:rPr>
              <w:t>6118</w:t>
            </w:r>
            <w:r>
              <w:rPr>
                <w:rFonts w:hint="eastAsia" w:ascii="宋体" w:hAnsi="宋体" w:eastAsia="宋体" w:cs="Arial"/>
                <w:color w:val="auto"/>
                <w:spacing w:val="-6"/>
                <w:sz w:val="21"/>
                <w:szCs w:val="21"/>
                <w:highlight w:val="none"/>
                <w:lang w:val="de-DE"/>
              </w:rPr>
              <w:t>万元</w:t>
            </w:r>
            <w:r>
              <w:rPr>
                <w:rFonts w:hint="eastAsia" w:ascii="宋体" w:hAnsi="宋体" w:eastAsia="宋体" w:cs="Arial"/>
                <w:color w:val="auto"/>
                <w:spacing w:val="-6"/>
                <w:sz w:val="21"/>
                <w:szCs w:val="21"/>
                <w:lang w:val="de-DE"/>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en-US" w:eastAsia="zh-CN"/>
              </w:rPr>
              <w:t>注册地址：</w:t>
            </w:r>
            <w:r>
              <w:rPr>
                <w:rFonts w:hint="eastAsia" w:ascii="宋体" w:hAnsi="宋体" w:eastAsia="宋体" w:cs="Arial"/>
                <w:color w:val="auto"/>
                <w:spacing w:val="-6"/>
                <w:sz w:val="21"/>
                <w:szCs w:val="21"/>
                <w:highlight w:val="none"/>
                <w:lang w:val="de-DE"/>
              </w:rPr>
              <w:t>江西省九江市永修县新城县城工业园集中区；</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经营地址：</w:t>
            </w:r>
            <w:r>
              <w:rPr>
                <w:rFonts w:hint="eastAsia" w:ascii="宋体" w:hAnsi="宋体" w:eastAsia="宋体" w:cs="Arial"/>
                <w:color w:val="auto"/>
                <w:spacing w:val="-6"/>
                <w:sz w:val="21"/>
                <w:szCs w:val="21"/>
                <w:highlight w:val="none"/>
                <w:lang w:val="de-DE"/>
              </w:rPr>
              <w:t>江西省九江市永修县新城县城工业园集中区；</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营业执照经营范围：</w:t>
            </w:r>
            <w:r>
              <w:rPr>
                <w:rFonts w:hint="eastAsia" w:ascii="宋体" w:hAnsi="宋体" w:eastAsia="宋体" w:cs="Arial"/>
                <w:color w:val="auto"/>
                <w:spacing w:val="-6"/>
                <w:sz w:val="21"/>
                <w:szCs w:val="21"/>
                <w:highlight w:val="none"/>
                <w:lang w:val="de-DE"/>
              </w:rPr>
              <w:t>第三类医疗器械经营，货物进出口（依法须经批准的项目，经相关部门批准后方可开展经营活动）。一般项目：智能馆（库）数字化综合一体管理控制系统软硬件、计算机软硬件开发、网络技术服务及维护、人工智能、云计算、大数据技术开发、无线射频识别系统的研发、智能门禁系统、智能库房温湿环境控制系统、智能库房环境视频监控系统、智能密集架软件系统、智能存储系统、智能密集架、智能书架、智能书车、智能储物柜、智能图书馆、馆员工作站、智能手机屏蔽柜、智能快递柜、智能语音人脸和指纹识别柜、智能枪弹柜、智能枪弹一体柜、智能库房（门）、智能药品柜、智能控制器、智能物证（卷宗）柜、智能化仓储设备、服务、装修工程及设计、制造、销售，手动密集架、无轨密集架、电动密集架、书架、期刊架、报架、文件柜、防磁柜、博物馆珍藏架、文物柜架、枪弹柜、回转库、保险箱（柜）、金库门、爆炸危险品库房、爆炸危险品保险柜（箱）、货架、智能货架、仓储货架、医疗产品的研发，第一类、第二类的销售及售后服务，医疗设备的研发、维护及技术咨询服务，医用计算机软件、仪器（表）、机械设备及器材的销售及设计、医疗家具、药架、药柜、共享陪护床、仪器柜、阅览桌椅、电脑桌、导诊桌、导诊台（护士站）、金属架柜、军用床、制式营具、木制架柜、档案装具、自动选层档案柜、不锈钢书架、密集架、货架等设备、档案消毒设备、公寓家具、办公家具、课桌椅、教育设备、公寓家具设计、施工、服务、制造、销售；信息系统集成及服务；档案数字化。（依法须经批准的项目，经相关部门批准后方可开展经营活动）</w:t>
            </w:r>
            <w:r>
              <w:rPr>
                <w:rFonts w:hint="eastAsia" w:ascii="宋体" w:hAnsi="宋体" w:cs="Arial"/>
                <w:color w:val="auto"/>
                <w:spacing w:val="-6"/>
                <w:sz w:val="21"/>
                <w:szCs w:val="21"/>
                <w:highlight w:val="none"/>
                <w:lang w:val="en-US" w:eastAsia="zh-CN"/>
              </w:rPr>
              <w:t>，无变化</w:t>
            </w:r>
            <w:r>
              <w:rPr>
                <w:rFonts w:hint="eastAsia" w:ascii="宋体" w:hAnsi="宋体" w:eastAsia="宋体" w:cs="Arial"/>
                <w:color w:val="auto"/>
                <w:spacing w:val="-6"/>
                <w:sz w:val="21"/>
                <w:szCs w:val="21"/>
                <w:highlight w:val="none"/>
                <w:lang w:val="de-DE"/>
              </w:rPr>
              <w:t>。</w:t>
            </w:r>
            <w:r>
              <w:rPr>
                <w:rFonts w:hint="eastAsia" w:ascii="宋体" w:hAnsi="宋体" w:eastAsia="宋体" w:cs="Arial"/>
                <w:color w:val="auto"/>
                <w:spacing w:val="-6"/>
                <w:sz w:val="21"/>
                <w:szCs w:val="21"/>
                <w:highlight w:val="none"/>
                <w:lang w:val="en-US" w:eastAsia="zh-CN"/>
              </w:rPr>
              <w:t>覆盖认证范围</w:t>
            </w:r>
            <w:r>
              <w:rPr>
                <w:rFonts w:hint="eastAsia" w:ascii="宋体" w:hAnsi="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主要设备有开式可倾压力机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液压极料折弯机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点焊机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等离子切割机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静电喷涂流水线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立校成型流水线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挂板成型流水线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数控冲床等；</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主要环保设备：废气、粉尘回收系统设备，空气净化机设备、灭火器、垃圾桶等；</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经交流得知公司</w:t>
            </w:r>
            <w:r>
              <w:rPr>
                <w:rFonts w:hint="default" w:ascii="宋体" w:hAnsi="宋体" w:eastAsia="宋体" w:cs="Arial"/>
                <w:color w:val="auto"/>
                <w:spacing w:val="-6"/>
                <w:sz w:val="21"/>
                <w:szCs w:val="21"/>
                <w:highlight w:val="none"/>
                <w:lang w:val="en-US" w:eastAsia="zh-CN"/>
              </w:rPr>
              <w:t>通过定期的网站获取、顾客沟通、及内部总结等方式</w:t>
            </w:r>
            <w:r>
              <w:rPr>
                <w:rFonts w:hint="eastAsia" w:ascii="宋体" w:hAnsi="宋体" w:eastAsia="宋体" w:cs="Arial"/>
                <w:color w:val="auto"/>
                <w:spacing w:val="-6"/>
                <w:sz w:val="21"/>
                <w:szCs w:val="21"/>
                <w:highlight w:val="none"/>
                <w:lang w:val="en-US" w:eastAsia="zh-CN"/>
              </w:rPr>
              <w:t>对内外部因素</w:t>
            </w:r>
            <w:r>
              <w:rPr>
                <w:rFonts w:hint="default" w:ascii="宋体" w:hAnsi="宋体" w:eastAsia="宋体" w:cs="Arial"/>
                <w:color w:val="auto"/>
                <w:spacing w:val="-6"/>
                <w:sz w:val="21"/>
                <w:szCs w:val="21"/>
                <w:highlight w:val="none"/>
                <w:lang w:val="en-US" w:eastAsia="zh-CN"/>
              </w:rPr>
              <w:t>进行监视和评审</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外部因素：</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金属制品等行业持续发展带来的机遇，安全环保的法规和政府对生产加工业的环保性、安全性和质量提出了越来越高的要求，行业有着非常大的提升空间，并取得迅速的发展。</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原材料价格受国际、国内政策影响较大；</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国内文化、社会因素影响因素很小。</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与同类企业相比，具有</w:t>
            </w:r>
            <w:r>
              <w:rPr>
                <w:rFonts w:hint="eastAsia" w:ascii="宋体" w:hAnsi="宋体" w:eastAsia="宋体" w:cs="Arial"/>
                <w:color w:val="auto"/>
                <w:spacing w:val="-6"/>
                <w:sz w:val="21"/>
                <w:szCs w:val="21"/>
                <w:highlight w:val="none"/>
                <w:lang w:val="en-US" w:eastAsia="zh-CN"/>
              </w:rPr>
              <w:t>设备先进、</w:t>
            </w:r>
            <w:r>
              <w:rPr>
                <w:rFonts w:hint="default" w:ascii="宋体" w:hAnsi="宋体" w:eastAsia="宋体" w:cs="Arial"/>
                <w:color w:val="auto"/>
                <w:spacing w:val="-6"/>
                <w:sz w:val="21"/>
                <w:szCs w:val="21"/>
                <w:highlight w:val="none"/>
                <w:lang w:val="en-US" w:eastAsia="zh-CN"/>
              </w:rPr>
              <w:t>人员少、生产效率高</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生产周期短、技术力量</w:t>
            </w:r>
            <w:r>
              <w:rPr>
                <w:rFonts w:hint="eastAsia" w:ascii="宋体" w:hAnsi="宋体" w:eastAsia="宋体" w:cs="Arial"/>
                <w:color w:val="auto"/>
                <w:spacing w:val="-6"/>
                <w:sz w:val="21"/>
                <w:szCs w:val="21"/>
                <w:highlight w:val="none"/>
                <w:lang w:val="en-US" w:eastAsia="zh-CN"/>
              </w:rPr>
              <w:t>强等</w:t>
            </w:r>
            <w:r>
              <w:rPr>
                <w:rFonts w:hint="default" w:ascii="宋体" w:hAnsi="宋体" w:eastAsia="宋体" w:cs="Arial"/>
                <w:color w:val="auto"/>
                <w:spacing w:val="-6"/>
                <w:sz w:val="21"/>
                <w:szCs w:val="21"/>
                <w:highlight w:val="none"/>
                <w:lang w:val="en-US" w:eastAsia="zh-CN"/>
              </w:rPr>
              <w:t>优势。</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内部因素：</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公司的人员均为有多年生产实践经验和质检及相关岗位管理工作经验</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生产技术人员全部经过技能/合规性培训，业务熟练，质量意识</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环境保护意识</w:t>
            </w:r>
            <w:r>
              <w:rPr>
                <w:rFonts w:hint="eastAsia" w:ascii="宋体" w:hAnsi="宋体" w:eastAsia="宋体" w:cs="Arial"/>
                <w:color w:val="auto"/>
                <w:spacing w:val="-6"/>
                <w:sz w:val="21"/>
                <w:szCs w:val="21"/>
                <w:highlight w:val="none"/>
                <w:lang w:val="en-US" w:eastAsia="zh-CN"/>
              </w:rPr>
              <w:t>、职业健康安全意识</w:t>
            </w:r>
            <w:r>
              <w:rPr>
                <w:rFonts w:hint="default" w:ascii="宋体" w:hAnsi="宋体" w:eastAsia="宋体" w:cs="Arial"/>
                <w:color w:val="auto"/>
                <w:spacing w:val="-6"/>
                <w:sz w:val="21"/>
                <w:szCs w:val="21"/>
                <w:highlight w:val="none"/>
                <w:lang w:val="en-US" w:eastAsia="zh-CN"/>
              </w:rPr>
              <w:t>较强。</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采用先进成熟的生产工艺，产品</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环境、职业健康安全有保证，产能有一定的优势。</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color w:val="auto"/>
                <w:spacing w:val="-6"/>
                <w:sz w:val="21"/>
                <w:szCs w:val="21"/>
                <w:highlight w:val="none"/>
                <w:lang w:val="en-US" w:eastAsia="zh-CN"/>
              </w:rPr>
              <w:t>公司财务能保障公司质量/环境/职业健康安全管理体系运行所需</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公司的技术、销售基础设施、环保安全设施配备齐全、过程运行环境控制良好</w:t>
            </w:r>
            <w:r>
              <w:rPr>
                <w:rFonts w:hint="eastAsia" w:ascii="宋体" w:hAnsi="宋体" w:eastAsia="宋体" w:cs="Arial"/>
                <w:color w:val="auto"/>
                <w:spacing w:val="-6"/>
                <w:sz w:val="21"/>
                <w:szCs w:val="21"/>
                <w:highlight w:val="none"/>
                <w:lang w:val="en-US" w:eastAsia="zh-CN"/>
              </w:rPr>
              <w:t>。</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理解相关方的需求和期望</w:t>
            </w:r>
          </w:p>
        </w:tc>
        <w:tc>
          <w:tcPr>
            <w:tcW w:w="960" w:type="dxa"/>
            <w:vAlign w:val="top"/>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EO:</w:t>
            </w:r>
            <w:r>
              <w:rPr>
                <w:rFonts w:hint="eastAsia" w:ascii="宋体" w:hAnsi="宋体" w:cs="Arial"/>
                <w:spacing w:val="-6"/>
                <w:sz w:val="21"/>
                <w:szCs w:val="21"/>
              </w:rPr>
              <w:t>4.2</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公司确定了与环境、职业健康安全管理体系有关的相关方包括</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主管部门</w:t>
            </w:r>
            <w:r>
              <w:rPr>
                <w:rFonts w:hint="eastAsia" w:ascii="宋体" w:hAnsi="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供方</w:t>
            </w:r>
            <w:r>
              <w:rPr>
                <w:rFonts w:hint="eastAsia" w:ascii="宋体" w:hAnsi="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顾客</w:t>
            </w:r>
            <w:r>
              <w:rPr>
                <w:rFonts w:hint="eastAsia" w:ascii="宋体" w:hAnsi="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社区</w:t>
            </w:r>
            <w:r>
              <w:rPr>
                <w:rFonts w:hint="eastAsia" w:ascii="宋体" w:hAnsi="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员工</w:t>
            </w:r>
            <w:r>
              <w:rPr>
                <w:rFonts w:hint="eastAsia" w:ascii="宋体" w:hAnsi="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投资方等；公司明确了相关方要求与期望、监测指标或项目、监测频率、监测部门等。</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对这些相关方</w:t>
            </w:r>
            <w:r>
              <w:rPr>
                <w:rFonts w:hint="eastAsia" w:ascii="宋体" w:hAnsi="宋体" w:eastAsia="宋体" w:cs="Arial"/>
                <w:color w:val="auto"/>
                <w:spacing w:val="-6"/>
                <w:sz w:val="21"/>
                <w:szCs w:val="21"/>
                <w:highlight w:val="none"/>
                <w:lang w:val="en-US" w:eastAsia="zh-CN"/>
              </w:rPr>
              <w:t>监视</w:t>
            </w:r>
            <w:r>
              <w:rPr>
                <w:rFonts w:hint="default" w:ascii="宋体" w:hAnsi="宋体" w:eastAsia="宋体" w:cs="Arial"/>
                <w:color w:val="auto"/>
                <w:spacing w:val="-6"/>
                <w:sz w:val="21"/>
                <w:szCs w:val="21"/>
                <w:highlight w:val="none"/>
                <w:lang w:val="en-US" w:eastAsia="zh-CN"/>
              </w:rPr>
              <w:t>和评审的方法有：上级文件、标准和规范的获取、设备器具检定、沟通等。</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color w:val="auto"/>
                <w:spacing w:val="-6"/>
                <w:sz w:val="21"/>
                <w:szCs w:val="21"/>
              </w:rPr>
            </w:pPr>
            <w:r>
              <w:rPr>
                <w:rFonts w:hint="eastAsia" w:ascii="宋体" w:hAnsi="宋体" w:cs="Arial"/>
                <w:color w:val="auto"/>
                <w:spacing w:val="-6"/>
                <w:sz w:val="21"/>
                <w:szCs w:val="21"/>
              </w:rPr>
              <w:t>应对风险和机遇的措施</w:t>
            </w:r>
          </w:p>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color w:val="auto"/>
                <w:spacing w:val="-6"/>
                <w:sz w:val="21"/>
                <w:szCs w:val="21"/>
              </w:rPr>
            </w:pPr>
            <w:r>
              <w:rPr>
                <w:rFonts w:hint="eastAsia" w:ascii="宋体" w:hAnsi="宋体" w:cs="Arial"/>
                <w:color w:val="auto"/>
                <w:spacing w:val="-6"/>
                <w:sz w:val="21"/>
                <w:szCs w:val="21"/>
              </w:rPr>
              <w:t>确定管理体系的范围</w:t>
            </w:r>
          </w:p>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color w:val="auto"/>
                <w:spacing w:val="-6"/>
                <w:sz w:val="21"/>
                <w:szCs w:val="21"/>
              </w:rPr>
            </w:pPr>
            <w:r>
              <w:rPr>
                <w:rFonts w:hint="eastAsia" w:ascii="宋体" w:hAnsi="宋体" w:cs="Arial"/>
                <w:color w:val="auto"/>
                <w:spacing w:val="-6"/>
                <w:sz w:val="21"/>
                <w:szCs w:val="21"/>
              </w:rPr>
              <w:t>管理体系及其过程</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体系变动情况</w:t>
            </w:r>
          </w:p>
        </w:tc>
        <w:tc>
          <w:tcPr>
            <w:tcW w:w="960" w:type="dxa"/>
            <w:vAlign w:val="top"/>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EO:6.1</w:t>
            </w:r>
          </w:p>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cs="Arial"/>
                <w:spacing w:val="-6"/>
                <w:sz w:val="21"/>
                <w:szCs w:val="21"/>
              </w:rPr>
            </w:pPr>
            <w:r>
              <w:rPr>
                <w:rFonts w:hint="eastAsia" w:ascii="宋体" w:hAnsi="宋体" w:cs="Arial"/>
                <w:spacing w:val="-6"/>
                <w:sz w:val="21"/>
                <w:szCs w:val="21"/>
              </w:rPr>
              <w:t>4.3</w:t>
            </w:r>
          </w:p>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4.4</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基于对4.1和4.2的考虑，分析了公司存在的风险和机遇：</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机遇：政策影响和传统文化的影响，</w:t>
            </w:r>
            <w:r>
              <w:rPr>
                <w:rFonts w:hint="default" w:ascii="宋体" w:hAnsi="宋体" w:eastAsia="宋体" w:cs="Arial"/>
                <w:color w:val="auto"/>
                <w:spacing w:val="-6"/>
                <w:sz w:val="21"/>
                <w:szCs w:val="21"/>
                <w:highlight w:val="none"/>
                <w:lang w:val="en-US" w:eastAsia="zh-CN"/>
              </w:rPr>
              <w:t>对企业有较好的</w:t>
            </w:r>
            <w:r>
              <w:rPr>
                <w:rFonts w:hint="eastAsia" w:ascii="宋体" w:hAnsi="宋体" w:eastAsia="宋体" w:cs="Arial"/>
                <w:color w:val="auto"/>
                <w:spacing w:val="-6"/>
                <w:sz w:val="21"/>
                <w:szCs w:val="21"/>
                <w:highlight w:val="none"/>
                <w:lang w:val="en-US" w:eastAsia="zh-CN"/>
              </w:rPr>
              <w:t>的发展机遇</w:t>
            </w:r>
            <w:r>
              <w:rPr>
                <w:rFonts w:hint="default"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风险：原材料价格波动较大，产业政策的变化可能给公司带来发展的风险</w:t>
            </w:r>
            <w:r>
              <w:rPr>
                <w:rFonts w:hint="default"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编制有《风险和机遇的应对控制程序》，对组织内外的风险和机遇进行了策划。</w:t>
            </w:r>
            <w:r>
              <w:rPr>
                <w:rFonts w:hint="eastAsia" w:ascii="宋体" w:hAnsi="宋体" w:eastAsia="宋体" w:cs="Arial"/>
                <w:color w:val="auto"/>
                <w:spacing w:val="-6"/>
                <w:sz w:val="21"/>
                <w:szCs w:val="21"/>
                <w:highlight w:val="none"/>
                <w:lang w:val="en-US" w:eastAsia="zh-CN"/>
              </w:rPr>
              <w:t>介绍说，公司</w:t>
            </w:r>
            <w:r>
              <w:rPr>
                <w:rFonts w:hint="default" w:ascii="宋体" w:hAnsi="宋体" w:eastAsia="宋体" w:cs="Arial"/>
                <w:color w:val="auto"/>
                <w:spacing w:val="-6"/>
                <w:sz w:val="21"/>
                <w:szCs w:val="21"/>
                <w:highlight w:val="none"/>
                <w:lang w:val="en-US" w:eastAsia="zh-CN"/>
              </w:rPr>
              <w:t>识别了风险和机遇来源、风险和机遇内容、管理措施、责任部门、实时时间、评价措施等</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重大环境因素：固体废物排放</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潜在火灾</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噪声排放</w:t>
            </w:r>
            <w:r>
              <w:rPr>
                <w:rFonts w:hint="eastAsia" w:ascii="宋体" w:hAnsi="宋体" w:eastAsia="宋体" w:cs="Arial"/>
                <w:color w:val="auto"/>
                <w:spacing w:val="-6"/>
                <w:sz w:val="21"/>
                <w:szCs w:val="21"/>
                <w:highlight w:val="none"/>
                <w:lang w:val="en-US" w:eastAsia="zh-CN"/>
              </w:rPr>
              <w:t>、粉尘、废气</w:t>
            </w:r>
            <w:r>
              <w:rPr>
                <w:rFonts w:hint="default"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通用措施——</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制定目标、指标，编制运行控制文件，运行控制；一旦发生按相关应急预案执行。</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固体废物排放</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一般固废集中收集外售；办公危废以旧换新由供应商带回；</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噪声排放——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选用低噪声设备，合理布局，隔声减震，厂房隔音；</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潜在火灾——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设备、电路定期检修、检查，电工持证上岗；配置消防器材、做好火灾预防措施</w:t>
            </w:r>
            <w:r>
              <w:rPr>
                <w:rFonts w:hint="eastAsia" w:ascii="宋体" w:hAnsi="宋体" w:cs="Arial"/>
                <w:color w:val="auto"/>
                <w:spacing w:val="-6"/>
                <w:sz w:val="21"/>
                <w:szCs w:val="21"/>
                <w:highlight w:val="none"/>
                <w:lang w:val="en-US" w:eastAsia="zh-CN"/>
              </w:rPr>
              <w:t>，预案、演练、检查。</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粉尘、废气——</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废气、粉尘回收系统设备回收后，空气净化机处理、排气筒排放</w:t>
            </w:r>
            <w:r>
              <w:rPr>
                <w:rFonts w:hint="eastAsia" w:ascii="宋体" w:hAnsi="宋体" w:cs="Arial"/>
                <w:color w:val="auto"/>
                <w:spacing w:val="-6"/>
                <w:sz w:val="21"/>
                <w:szCs w:val="21"/>
                <w:highlight w:val="none"/>
                <w:lang w:val="en-US" w:eastAsia="zh-CN"/>
              </w:rPr>
              <w:t>至水浴处理；</w:t>
            </w:r>
          </w:p>
          <w:p>
            <w:pPr>
              <w:pStyle w:val="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废水——</w:t>
            </w:r>
          </w:p>
          <w:p>
            <w:pPr>
              <w:pStyle w:val="2"/>
              <w:rPr>
                <w:rFonts w:hint="default" w:ascii="宋体" w:hAnsi="宋体" w:cs="Arial"/>
                <w:color w:val="auto"/>
                <w:spacing w:val="-6"/>
                <w:sz w:val="21"/>
                <w:szCs w:val="21"/>
                <w:highlight w:val="none"/>
                <w:lang w:val="en-US" w:eastAsia="zh-CN"/>
              </w:rPr>
            </w:pPr>
            <w:r>
              <w:rPr>
                <w:rFonts w:hint="eastAsia"/>
                <w:szCs w:val="22"/>
                <w:lang w:val="en-US" w:eastAsia="zh-CN"/>
              </w:rPr>
              <w:t>水浴收尘水定期更换，约3-5天更换一次，产生量320m3/a，废水经沉淀、过滤后与生活水一并处理。生活污水采用LWW型地埋式生活污水处理装置进行处理，使废水中的有机物得以降解后排放至市政管网，满足污水处理要求，废水处理后水质达到《污水综合排放标准（GB8978-1996）中一级标准排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不可接受风险：机械伤害</w:t>
            </w:r>
            <w:r>
              <w:rPr>
                <w:rFonts w:hint="eastAsia" w:ascii="宋体" w:hAnsi="宋体" w:eastAsia="宋体" w:cs="Arial"/>
                <w:color w:val="auto"/>
                <w:spacing w:val="-6"/>
                <w:sz w:val="21"/>
                <w:szCs w:val="21"/>
                <w:highlight w:val="none"/>
                <w:lang w:val="en-US" w:eastAsia="zh-CN"/>
              </w:rPr>
              <w:t>、噪声排放、</w:t>
            </w:r>
            <w:r>
              <w:rPr>
                <w:rFonts w:hint="default" w:ascii="宋体" w:hAnsi="宋体" w:eastAsia="宋体" w:cs="Arial"/>
                <w:color w:val="auto"/>
                <w:spacing w:val="-6"/>
                <w:sz w:val="21"/>
                <w:szCs w:val="21"/>
                <w:highlight w:val="none"/>
                <w:lang w:val="en-US" w:eastAsia="zh-CN"/>
              </w:rPr>
              <w:t>潜在火灾</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触电伤害</w:t>
            </w:r>
            <w:r>
              <w:rPr>
                <w:rFonts w:hint="eastAsia" w:ascii="宋体" w:hAnsi="宋体" w:eastAsia="宋体" w:cs="Arial"/>
                <w:color w:val="auto"/>
                <w:spacing w:val="-6"/>
                <w:sz w:val="21"/>
                <w:szCs w:val="21"/>
                <w:highlight w:val="none"/>
                <w:lang w:val="en-US" w:eastAsia="zh-CN"/>
              </w:rPr>
              <w:t>、粉尘</w:t>
            </w:r>
            <w:r>
              <w:rPr>
                <w:rFonts w:hint="default"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通用控制措施——</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制定目标、指标，编制运行控制文件，运行控制；设置警示标志标识；</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定期监测职业危害因素并公示；一旦发生按相关应急预案执行。</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火灾，触电——</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设备、电路定期检修、检查，电工持证上岗；配置消防器材、做好火灾预防措施</w:t>
            </w:r>
            <w:r>
              <w:rPr>
                <w:rFonts w:hint="eastAsia" w:ascii="宋体" w:hAnsi="宋体" w:cs="Arial"/>
                <w:color w:val="auto"/>
                <w:spacing w:val="-6"/>
                <w:sz w:val="21"/>
                <w:szCs w:val="21"/>
                <w:highlight w:val="none"/>
                <w:lang w:val="en-US" w:eastAsia="zh-CN"/>
              </w:rPr>
              <w:t>，预案、演练、检查。</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噪声排放——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选用低噪声设备，合理布局，隔声减震，厂房隔音；加强厂区绿化吸收噪音；</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粉尘、废气——</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废气、粉尘回收系统设备回收后，空气净化机处理、排气筒排放</w:t>
            </w:r>
            <w:r>
              <w:rPr>
                <w:rFonts w:hint="eastAsia" w:ascii="宋体" w:hAnsi="宋体" w:cs="Arial"/>
                <w:color w:val="auto"/>
                <w:spacing w:val="-6"/>
                <w:sz w:val="21"/>
                <w:szCs w:val="21"/>
                <w:highlight w:val="none"/>
                <w:lang w:val="en-US" w:eastAsia="zh-CN"/>
              </w:rPr>
              <w:t>至水浴处理</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机械伤害——</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设备设施安全防护、加强安全教育，按章作业，加强工艺纪律检查，使用个人防护用品。</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为应对相应风险和机遇，公司依据GB/T24001-2016、GB/T45001-2020标准的要求并结合本公司的具体情况，采取PDCA的过程方法，建立、实施、保持并持续改进环境、职业健康安全管理体系。</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FF0000"/>
                <w:spacing w:val="-6"/>
                <w:sz w:val="21"/>
                <w:szCs w:val="21"/>
                <w:highlight w:val="none"/>
                <w:lang w:val="en-US" w:eastAsia="zh-CN"/>
              </w:rPr>
            </w:pPr>
            <w:r>
              <w:rPr>
                <w:rFonts w:hint="eastAsia" w:ascii="宋体" w:hAnsi="宋体" w:eastAsia="宋体" w:cs="Arial"/>
                <w:color w:val="FF0000"/>
                <w:spacing w:val="-6"/>
                <w:sz w:val="21"/>
                <w:szCs w:val="21"/>
                <w:highlight w:val="none"/>
                <w:lang w:val="en-US" w:eastAsia="zh-CN"/>
              </w:rPr>
              <w:t>编制《管理手册》A/0版，管理体系于2020年1月10日发布实施；</w:t>
            </w:r>
          </w:p>
          <w:p>
            <w:pPr>
              <w:pStyle w:val="2"/>
              <w:rPr>
                <w:rFonts w:hint="default"/>
                <w:color w:val="FF0000"/>
                <w:lang w:val="en-US" w:eastAsia="zh-CN"/>
              </w:rPr>
            </w:pPr>
            <w:r>
              <w:rPr>
                <w:rFonts w:hint="eastAsia" w:ascii="宋体" w:hAnsi="宋体" w:cs="Arial"/>
                <w:color w:val="FF0000"/>
                <w:spacing w:val="-6"/>
                <w:sz w:val="21"/>
                <w:szCs w:val="21"/>
                <w:highlight w:val="none"/>
                <w:lang w:val="en-US" w:eastAsia="zh-CN"/>
              </w:rPr>
              <w:t>2021.9.20因扩大产品范围，进行了修改，产品范围增加了“货架、智能货架、仓储货架”；</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编制程序文件27个，版本号：A/0，2020年1月10日实施；</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建立有外来文件清单，收集法律法规和技术标准、规范等；GB/T3325-2017金属家具通用技术条件、QB/1097—2010钢制文件柜技术条件、</w:t>
            </w:r>
            <w:r>
              <w:rPr>
                <w:rFonts w:hint="eastAsia" w:ascii="宋体" w:hAnsi="宋体" w:eastAsia="宋体" w:cs="Arial"/>
                <w:color w:val="FF0000"/>
                <w:spacing w:val="-6"/>
                <w:sz w:val="21"/>
                <w:szCs w:val="21"/>
                <w:highlight w:val="none"/>
                <w:lang w:val="en-US" w:eastAsia="zh-CN"/>
              </w:rPr>
              <w:t>GB/T 28200-2011  钢制储物（柜）架技术要求及实验方法</w:t>
            </w:r>
            <w:r>
              <w:rPr>
                <w:rFonts w:hint="eastAsia" w:ascii="宋体" w:hAnsi="宋体" w:cs="Arial"/>
                <w:color w:val="FF0000"/>
                <w:spacing w:val="-6"/>
                <w:sz w:val="21"/>
                <w:szCs w:val="21"/>
                <w:highlight w:val="none"/>
                <w:lang w:val="en-US" w:eastAsia="zh-CN"/>
              </w:rPr>
              <w:t>、</w:t>
            </w:r>
            <w:r>
              <w:rPr>
                <w:rFonts w:hint="eastAsia" w:ascii="宋体" w:hAnsi="宋体" w:eastAsia="宋体" w:cs="Arial"/>
                <w:color w:val="auto"/>
                <w:spacing w:val="-6"/>
                <w:sz w:val="21"/>
                <w:szCs w:val="21"/>
                <w:highlight w:val="none"/>
                <w:lang w:val="en-US" w:eastAsia="zh-CN"/>
              </w:rPr>
              <w:t>GB/T 13667.1-2017钢制书架 第1部分:单、复柱书架、GB/T 13667.2—2017积层式钢制书架技术条件、GB/T 13667.3-2013钢制书架 第3部分:手动密集书架、GB/T 13667.4-2013钢制书架 第4部分:电动密集书架、GB/T13668-2015钢制书柜、资料柜通用技术条件、QB/T2714-2013学生公寓多功能家具、GB/T28200-2011钢制储物柜(架)技术要求及试验方法、GA 1051-2013枪支弹药专用保险柜；</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建立环境、职业健康安全法律法规和其他要求清单，共99个。</w:t>
            </w:r>
            <w:r>
              <w:rPr>
                <w:rFonts w:hint="eastAsia" w:ascii="宋体" w:hAnsi="宋体" w:cs="Arial"/>
                <w:color w:val="auto"/>
                <w:spacing w:val="-6"/>
                <w:sz w:val="21"/>
                <w:szCs w:val="21"/>
                <w:highlight w:val="none"/>
                <w:lang w:val="en-US" w:eastAsia="zh-CN"/>
              </w:rPr>
              <w:t>无变化。</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生产工艺流程如下：</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下料→冲压 → 折弯→焊接→整形→初成品→喷涂→固化→下件→成品入库</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管理体系覆盖范围：</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E</w:t>
            </w:r>
            <w:r>
              <w:rPr>
                <w:rFonts w:hint="eastAsia" w:ascii="宋体" w:hAnsi="宋体" w:eastAsia="宋体" w:cs="Arial"/>
                <w:color w:val="auto"/>
                <w:spacing w:val="-6"/>
                <w:sz w:val="21"/>
                <w:szCs w:val="21"/>
                <w:highlight w:val="none"/>
                <w:lang w:val="en-US" w:eastAsia="zh-CN"/>
              </w:rPr>
              <w:t>/O</w:t>
            </w:r>
            <w:r>
              <w:rPr>
                <w:rFonts w:hint="default" w:ascii="宋体" w:hAnsi="宋体" w:eastAsia="宋体" w:cs="Arial"/>
                <w:color w:val="auto"/>
                <w:spacing w:val="-6"/>
                <w:sz w:val="21"/>
                <w:szCs w:val="21"/>
                <w:highlight w:val="none"/>
                <w:lang w:val="en-US" w:eastAsia="zh-CN"/>
              </w:rPr>
              <w:t>：密集架(智能型密集架、手动密集架、无轨密集架、电动密集架)；书架（智能书架、不锈钢书架、钢木书架、期刊架、报架）；</w:t>
            </w:r>
            <w:r>
              <w:rPr>
                <w:rFonts w:hint="eastAsia" w:ascii="宋体" w:hAnsi="宋体" w:cs="Arial"/>
                <w:color w:val="FF0000"/>
                <w:spacing w:val="-6"/>
                <w:sz w:val="21"/>
                <w:szCs w:val="21"/>
                <w:highlight w:val="none"/>
                <w:lang w:val="en-US" w:eastAsia="zh-CN"/>
              </w:rPr>
              <w:t>货架、智能货架、仓储货架；</w:t>
            </w:r>
            <w:r>
              <w:rPr>
                <w:rFonts w:hint="default" w:ascii="宋体" w:hAnsi="宋体" w:eastAsia="宋体" w:cs="Arial"/>
                <w:color w:val="auto"/>
                <w:spacing w:val="-6"/>
                <w:sz w:val="21"/>
                <w:szCs w:val="21"/>
                <w:highlight w:val="none"/>
                <w:lang w:val="en-US" w:eastAsia="zh-CN"/>
              </w:rPr>
              <w:t>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及其所涉及的环境管理活动</w:t>
            </w:r>
            <w:r>
              <w:rPr>
                <w:rFonts w:hint="eastAsia" w:ascii="宋体" w:hAnsi="宋体" w:eastAsia="宋体" w:cs="Arial"/>
                <w:color w:val="auto"/>
                <w:spacing w:val="-6"/>
                <w:sz w:val="21"/>
                <w:szCs w:val="21"/>
                <w:highlight w:val="none"/>
                <w:lang w:val="en-US" w:eastAsia="zh-CN"/>
              </w:rPr>
              <w:t>和</w:t>
            </w:r>
            <w:r>
              <w:rPr>
                <w:rFonts w:hint="default" w:ascii="宋体" w:hAnsi="宋体" w:eastAsia="宋体" w:cs="Arial"/>
                <w:color w:val="auto"/>
                <w:spacing w:val="-6"/>
                <w:sz w:val="21"/>
                <w:szCs w:val="21"/>
                <w:highlight w:val="none"/>
                <w:lang w:val="en-US" w:eastAsia="zh-CN"/>
              </w:rPr>
              <w:t>相关职业健康安全管理活动</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FF0000"/>
                <w:spacing w:val="-6"/>
                <w:sz w:val="21"/>
                <w:szCs w:val="21"/>
                <w:highlight w:val="none"/>
                <w:lang w:val="en-US" w:eastAsia="zh-CN"/>
              </w:rPr>
              <w:t>经查，</w:t>
            </w:r>
            <w:r>
              <w:rPr>
                <w:rFonts w:hint="eastAsia" w:ascii="宋体" w:hAnsi="宋体" w:cs="Arial"/>
                <w:color w:val="FF0000"/>
                <w:spacing w:val="-6"/>
                <w:sz w:val="21"/>
                <w:szCs w:val="21"/>
                <w:highlight w:val="none"/>
                <w:lang w:val="en-US" w:eastAsia="zh-CN"/>
              </w:rPr>
              <w:t>上次监督审核</w:t>
            </w:r>
            <w:r>
              <w:rPr>
                <w:rFonts w:hint="eastAsia" w:ascii="宋体" w:hAnsi="宋体" w:eastAsia="宋体" w:cs="Arial"/>
                <w:color w:val="FF0000"/>
                <w:spacing w:val="-6"/>
                <w:sz w:val="21"/>
                <w:szCs w:val="21"/>
                <w:highlight w:val="none"/>
                <w:lang w:val="en-US" w:eastAsia="zh-CN"/>
              </w:rPr>
              <w:t>以来，</w:t>
            </w:r>
            <w:r>
              <w:rPr>
                <w:rFonts w:hint="eastAsia" w:ascii="宋体" w:hAnsi="宋体" w:cs="Arial"/>
                <w:color w:val="FF0000"/>
                <w:spacing w:val="-6"/>
                <w:sz w:val="21"/>
                <w:szCs w:val="21"/>
                <w:highlight w:val="none"/>
                <w:lang w:val="en-US" w:eastAsia="zh-CN"/>
              </w:rPr>
              <w:t>体系覆盖范围增加了产品“货架、智能货架、仓储货架”</w:t>
            </w:r>
            <w:r>
              <w:rPr>
                <w:rFonts w:hint="eastAsia" w:ascii="宋体" w:hAnsi="宋体" w:eastAsia="宋体" w:cs="Arial"/>
                <w:color w:val="FF0000"/>
                <w:spacing w:val="-6"/>
                <w:sz w:val="21"/>
                <w:szCs w:val="21"/>
                <w:highlight w:val="none"/>
                <w:lang w:val="en-US" w:eastAsia="zh-CN"/>
              </w:rPr>
              <w:t>。</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spacing w:val="-6"/>
                <w:sz w:val="21"/>
                <w:szCs w:val="21"/>
              </w:rPr>
            </w:pPr>
            <w:r>
              <w:rPr>
                <w:rFonts w:hint="eastAsia" w:ascii="宋体" w:hAnsi="宋体" w:cs="Arial"/>
                <w:spacing w:val="-6"/>
                <w:sz w:val="21"/>
                <w:szCs w:val="21"/>
              </w:rPr>
              <w:t>领导作用和承诺</w:t>
            </w:r>
          </w:p>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组织的岗位、职责和权限</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EO:5.1</w:t>
            </w:r>
          </w:p>
          <w:p>
            <w:pPr>
              <w:keepNext w:val="0"/>
              <w:keepLines w:val="0"/>
              <w:pageBreakBefore w:val="0"/>
              <w:widowControl w:val="0"/>
              <w:kinsoku/>
              <w:wordWrap/>
              <w:overflowPunct/>
              <w:topLinePunct w:val="0"/>
              <w:autoSpaceDE/>
              <w:autoSpaceDN/>
              <w:bidi w:val="0"/>
              <w:spacing w:after="0" w:line="360" w:lineRule="auto"/>
              <w:jc w:val="center"/>
              <w:rPr>
                <w:rFonts w:hint="default"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5.3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lang w:val="en-US" w:eastAsia="zh-CN"/>
              </w:rPr>
            </w:pPr>
            <w:r>
              <w:rPr>
                <w:rFonts w:hint="eastAsia"/>
                <w:lang w:val="en-US" w:eastAsia="zh-CN"/>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lang w:val="de-DE" w:eastAsia="zh-CN"/>
              </w:rPr>
            </w:pPr>
            <w:r>
              <w:rPr>
                <w:rFonts w:hint="eastAsia"/>
                <w:lang w:val="de-DE" w:eastAsia="zh-CN"/>
              </w:rPr>
              <w:t>公司设有行政部、生产部、销售部、采购部、品质部、技术部、财务部。</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default"/>
                <w:lang w:val="en-US" w:eastAsia="zh-CN"/>
              </w:rPr>
            </w:pPr>
            <w:r>
              <w:rPr>
                <w:rFonts w:hint="default"/>
                <w:lang w:val="en-US" w:eastAsia="zh-CN"/>
              </w:rPr>
              <w:t>编制了岗位</w:t>
            </w:r>
            <w:r>
              <w:rPr>
                <w:rFonts w:hint="eastAsia"/>
                <w:lang w:val="en-US" w:eastAsia="zh-CN"/>
              </w:rPr>
              <w:t>说明书</w:t>
            </w:r>
            <w:r>
              <w:rPr>
                <w:rFonts w:hint="default"/>
                <w:lang w:val="en-US" w:eastAsia="zh-CN"/>
              </w:rPr>
              <w:t>，</w:t>
            </w:r>
            <w:r>
              <w:rPr>
                <w:rFonts w:hint="eastAsia"/>
                <w:lang w:val="en-US" w:eastAsia="zh-CN"/>
              </w:rPr>
              <w:t>明确了岗位能力要求和职责，</w:t>
            </w:r>
            <w:r>
              <w:rPr>
                <w:rFonts w:hint="default"/>
                <w:lang w:val="en-US" w:eastAsia="zh-CN"/>
              </w:rPr>
              <w:t>沟通各部门的职责及各部门之间工作的联系。</w:t>
            </w:r>
          </w:p>
          <w:p>
            <w:pPr>
              <w:pStyle w:val="2"/>
              <w:rPr>
                <w:rFonts w:hint="default"/>
                <w:lang w:val="en-US" w:eastAsia="zh-CN"/>
              </w:rPr>
            </w:pPr>
            <w:r>
              <w:rPr>
                <w:rFonts w:hint="eastAsia" w:ascii="宋体" w:hAnsi="宋体" w:cs="Arial"/>
                <w:spacing w:val="-6"/>
                <w:sz w:val="21"/>
                <w:szCs w:val="21"/>
                <w:lang w:val="en-US" w:eastAsia="zh-CN"/>
              </w:rPr>
              <w:t>无变化。</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spacing w:val="-6"/>
                <w:sz w:val="21"/>
                <w:szCs w:val="21"/>
              </w:rPr>
            </w:pPr>
            <w:r>
              <w:rPr>
                <w:rFonts w:hint="eastAsia" w:ascii="宋体" w:hAnsi="宋体" w:cs="Arial"/>
                <w:spacing w:val="-6"/>
                <w:sz w:val="21"/>
                <w:szCs w:val="21"/>
                <w:lang w:val="en-US" w:eastAsia="zh-CN"/>
              </w:rPr>
              <w:t>管理</w:t>
            </w:r>
            <w:r>
              <w:rPr>
                <w:rFonts w:hint="eastAsia" w:ascii="宋体" w:hAnsi="宋体" w:cs="Arial"/>
                <w:spacing w:val="-6"/>
                <w:sz w:val="21"/>
                <w:szCs w:val="21"/>
              </w:rPr>
              <w:t>方针</w:t>
            </w:r>
          </w:p>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lang w:val="en-US" w:eastAsia="zh-CN" w:bidi="ar-SA"/>
              </w:rPr>
            </w:pPr>
            <w:r>
              <w:rPr>
                <w:rFonts w:hint="eastAsia" w:ascii="宋体" w:hAnsi="宋体" w:cs="Arial"/>
                <w:spacing w:val="-6"/>
                <w:sz w:val="21"/>
                <w:szCs w:val="21"/>
              </w:rPr>
              <w:t>目标及其实现的策划</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EO:5.2</w:t>
            </w:r>
          </w:p>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6.2</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en-US" w:eastAsia="zh-CN"/>
              </w:rPr>
              <w:t>公司建立的</w:t>
            </w:r>
            <w:r>
              <w:rPr>
                <w:rFonts w:hint="eastAsia" w:ascii="宋体" w:hAnsi="宋体" w:eastAsia="宋体" w:cs="Arial"/>
                <w:color w:val="auto"/>
                <w:spacing w:val="-6"/>
                <w:sz w:val="21"/>
                <w:szCs w:val="21"/>
                <w:highlight w:val="none"/>
                <w:lang w:val="de-DE"/>
              </w:rPr>
              <w:t>环境职业健康安全方针：预防为主，降低风险；遵章守法，创造和谐</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方针适宜于公司现状，在管理手册中明确，通过文件发放，使员工获知，适用时提供给相关方。</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并以方针为框架，建立了公司管理目标：</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环保安全目标：</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固体废弃物分类处置率100%；</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火灾事故为0。</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提供了本公司的环境和安全管理方案和控制措施。</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eastAsia" w:ascii="宋体" w:hAnsi="宋体" w:cs="Arial"/>
                <w:color w:val="auto"/>
                <w:spacing w:val="-6"/>
                <w:sz w:val="21"/>
                <w:szCs w:val="21"/>
                <w:lang w:val="en-US" w:eastAsia="zh-CN"/>
              </w:rPr>
              <w:t>保留“目标分解考核表”，显示对管理目标进行了分解，2021年1-8月所有目标均已完成。</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资源总则</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EO:7.1</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highlight w:val="none"/>
                <w:lang w:val="de-DE" w:eastAsia="zh-CN"/>
              </w:rPr>
              <w:t>江西白莲智能科技集团有限公司</w:t>
            </w:r>
            <w:r>
              <w:rPr>
                <w:rFonts w:hint="eastAsia" w:ascii="宋体" w:hAnsi="宋体" w:cs="Arial"/>
                <w:color w:val="auto"/>
                <w:spacing w:val="-6"/>
                <w:sz w:val="21"/>
                <w:szCs w:val="21"/>
                <w:highlight w:val="none"/>
                <w:lang w:val="en-US" w:eastAsia="zh-CN"/>
              </w:rPr>
              <w:t>成立于2002年05月23日</w:t>
            </w:r>
            <w:r>
              <w:rPr>
                <w:rFonts w:hint="eastAsia" w:ascii="宋体" w:hAnsi="宋体" w:eastAsia="宋体" w:cs="Arial"/>
                <w:color w:val="auto"/>
                <w:spacing w:val="-6"/>
                <w:sz w:val="21"/>
                <w:szCs w:val="21"/>
                <w:highlight w:val="none"/>
                <w:lang w:val="de-DE"/>
              </w:rPr>
              <w:t>；注册资金</w:t>
            </w:r>
            <w:r>
              <w:rPr>
                <w:rFonts w:hint="eastAsia" w:ascii="宋体" w:hAnsi="宋体" w:cs="Arial"/>
                <w:color w:val="auto"/>
                <w:spacing w:val="-6"/>
                <w:sz w:val="21"/>
                <w:szCs w:val="21"/>
                <w:highlight w:val="none"/>
                <w:lang w:val="en-US" w:eastAsia="zh-CN"/>
              </w:rPr>
              <w:t>6118</w:t>
            </w:r>
            <w:r>
              <w:rPr>
                <w:rFonts w:hint="eastAsia" w:ascii="宋体" w:hAnsi="宋体" w:eastAsia="宋体" w:cs="Arial"/>
                <w:color w:val="auto"/>
                <w:spacing w:val="-6"/>
                <w:sz w:val="21"/>
                <w:szCs w:val="21"/>
                <w:highlight w:val="none"/>
                <w:lang w:val="de-DE"/>
              </w:rPr>
              <w:t>万元</w:t>
            </w:r>
            <w:r>
              <w:rPr>
                <w:rFonts w:hint="eastAsia" w:ascii="宋体" w:hAnsi="宋体" w:eastAsia="宋体" w:cs="Arial"/>
                <w:color w:val="auto"/>
                <w:spacing w:val="-6"/>
                <w:sz w:val="21"/>
                <w:szCs w:val="21"/>
                <w:lang w:val="de-DE"/>
              </w:rPr>
              <w:t>；</w:t>
            </w:r>
            <w:r>
              <w:rPr>
                <w:rFonts w:hint="eastAsia" w:ascii="宋体" w:hAnsi="宋体" w:eastAsia="宋体" w:cs="Arial"/>
                <w:color w:val="auto"/>
                <w:spacing w:val="-6"/>
                <w:sz w:val="21"/>
                <w:szCs w:val="21"/>
                <w:lang w:val="en-US" w:eastAsia="zh-CN"/>
              </w:rPr>
              <w:t>占地面积1万余平方米。</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de-DE"/>
              </w:rPr>
              <w:t>现有员工</w:t>
            </w:r>
            <w:r>
              <w:rPr>
                <w:rFonts w:hint="eastAsia" w:ascii="宋体" w:hAnsi="宋体" w:eastAsia="宋体" w:cs="Arial"/>
                <w:color w:val="auto"/>
                <w:spacing w:val="-6"/>
                <w:sz w:val="21"/>
                <w:szCs w:val="21"/>
                <w:highlight w:val="none"/>
                <w:lang w:val="en-US" w:eastAsia="zh-CN"/>
              </w:rPr>
              <w:t>48</w:t>
            </w:r>
            <w:r>
              <w:rPr>
                <w:rFonts w:hint="eastAsia" w:ascii="宋体" w:hAnsi="宋体" w:eastAsia="宋体" w:cs="Arial"/>
                <w:color w:val="auto"/>
                <w:spacing w:val="-6"/>
                <w:sz w:val="21"/>
                <w:szCs w:val="21"/>
                <w:highlight w:val="none"/>
                <w:lang w:val="de-DE"/>
              </w:rPr>
              <w:t>人</w:t>
            </w:r>
            <w:r>
              <w:rPr>
                <w:rFonts w:hint="eastAsia" w:ascii="宋体" w:hAnsi="宋体" w:cs="Arial"/>
                <w:color w:val="auto"/>
                <w:spacing w:val="-6"/>
                <w:sz w:val="21"/>
                <w:szCs w:val="21"/>
                <w:highlight w:val="none"/>
                <w:lang w:val="de-DE" w:eastAsia="zh-CN"/>
              </w:rPr>
              <w:t>，</w:t>
            </w:r>
            <w:r>
              <w:rPr>
                <w:rFonts w:hint="eastAsia" w:ascii="宋体" w:hAnsi="宋体" w:cs="Arial"/>
                <w:color w:val="auto"/>
                <w:spacing w:val="-6"/>
                <w:sz w:val="21"/>
                <w:szCs w:val="21"/>
                <w:highlight w:val="none"/>
                <w:lang w:val="en-US" w:eastAsia="zh-CN"/>
              </w:rPr>
              <w:t>作业人员持证上岗；管理人员、技术人员能满足生产要求；</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主要设备有开式可倾压力机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液压极料折弯机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点焊机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等离子切割机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静电喷涂流水线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立校成型流水线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挂板成型流水线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数控冲床等；</w:t>
            </w: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主要环保设备：废气、粉尘回收系统设备，空气净化机设备、灭火器、垃圾桶等；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公司厂房，库房、行政部、会议室，现场配备了灭火器、消防栓等消防安全设备，能保证企业正常办公。</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公司财务能保证环境、职业健康安全工作的开展，确保相关资金及时投入。</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default" w:ascii="宋体" w:hAnsi="宋体" w:eastAsia="宋体" w:cs="Arial"/>
                <w:color w:val="auto"/>
                <w:spacing w:val="-6"/>
                <w:sz w:val="21"/>
                <w:szCs w:val="21"/>
                <w:highlight w:val="none"/>
                <w:lang w:val="en-US" w:eastAsia="zh-CN"/>
              </w:rPr>
              <w:t>基本能满足体系运行的要求。</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沟通/信息交流</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EO:7.4</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编制了《信息交流、协商和沟通控制程序》，确了内部外部信息交流的内容及职责，包含重要环境因素、不可接受风险、管理方针、应急控制等的交流规定，基本符合。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对于环保、安全方面的信息主要利用会议、培训、座谈、电话、网络、收文等方式进行内外部沟通和协商。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经交流，体系运行中，通过文件、口头、电话、办公会议、现场协调等方式进行内部沟通，通过宣贯培训让员工充分认识到环境、职业健康安全体系的要求。</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内部、外部沟通协商的机制已建立运行，有效。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cs="Arial"/>
                <w:color w:val="auto"/>
                <w:spacing w:val="-6"/>
                <w:sz w:val="21"/>
                <w:szCs w:val="21"/>
                <w:lang w:val="en-US" w:eastAsia="zh-CN"/>
              </w:rPr>
              <w:t>现场查见会议记录、通知通报、培训记录、文件签收等组织内部培训方式相关记录。</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管理评审</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EO:9.3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2021年6月8日召开管理评审会议，由石仕义总经理主持；</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保留管理评审计划、管理评审报告、管理评审会议纪要等；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spacing w:val="-6"/>
                <w:sz w:val="21"/>
                <w:szCs w:val="21"/>
                <w:lang w:val="en-US" w:eastAsia="zh-CN"/>
              </w:rPr>
              <w:t>管理评审输入较</w:t>
            </w:r>
            <w:r>
              <w:rPr>
                <w:rFonts w:hint="eastAsia" w:ascii="宋体" w:hAnsi="宋体" w:cs="Arial"/>
                <w:color w:val="auto"/>
                <w:spacing w:val="-6"/>
                <w:sz w:val="21"/>
                <w:szCs w:val="21"/>
                <w:lang w:val="en-US" w:eastAsia="zh-CN"/>
              </w:rPr>
              <w:t>充分，对上次管理评审的改进措施进行了跟踪；</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lang w:val="en-US" w:eastAsia="zh-CN"/>
              </w:rPr>
              <w:t>管理评审结论：管</w:t>
            </w:r>
            <w:r>
              <w:rPr>
                <w:rFonts w:hint="eastAsia" w:ascii="宋体" w:hAnsi="宋体" w:cs="Arial"/>
                <w:spacing w:val="-6"/>
                <w:sz w:val="21"/>
                <w:szCs w:val="21"/>
                <w:highlight w:val="none"/>
                <w:lang w:val="en-US" w:eastAsia="zh-CN"/>
              </w:rPr>
              <w:t>理体系的建立和运行是充分的、适宜的、有效的。</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改进措施要求：各个部门的沟通要流畅，提高工作效率等；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highlight w:val="none"/>
                <w:lang w:val="en-US" w:eastAsia="zh-CN"/>
              </w:rPr>
              <w:t>制定有“管理评审改进措施计划”。</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spacing w:val="-6"/>
                <w:sz w:val="21"/>
                <w:szCs w:val="21"/>
              </w:rPr>
            </w:pPr>
            <w:r>
              <w:rPr>
                <w:rFonts w:hint="eastAsia" w:ascii="宋体" w:hAnsi="宋体" w:cs="Arial"/>
                <w:spacing w:val="-6"/>
                <w:sz w:val="21"/>
                <w:szCs w:val="21"/>
              </w:rPr>
              <w:t>改进</w:t>
            </w:r>
          </w:p>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持续改进</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EO:10.1</w:t>
            </w:r>
          </w:p>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10.3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协商与参与</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O：5.4</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经选举确定职业健康安全事务代表是夏启龙，与其座谈：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通过员工代表的积极争取，员工的劳保用品得到合理配备并及时发放；每年为一线职工体检等。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投诉或事故、监督抽查情况</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自公司成立以来，未受到上级主管部门有关环境问题、职业健康安全的行政处罚。</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监察发现的一般问题及时进行整改；未发生相关方的投诉。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暂时没有国家/地方抽查情况。</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eastAsia" w:ascii="宋体" w:hAnsi="宋体" w:cs="Arial"/>
                <w:color w:val="auto"/>
                <w:spacing w:val="-6"/>
                <w:sz w:val="21"/>
                <w:szCs w:val="21"/>
                <w:lang w:val="en-US" w:eastAsia="zh-CN"/>
              </w:rPr>
              <w:t>目前没有相关行政主管部门的检查处罚，在审核现场也未发现抽查、相关方投诉等情况。</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highlight w:val="none"/>
                <w:lang w:val="en-US" w:eastAsia="zh-CN" w:bidi="ar-SA"/>
              </w:rPr>
            </w:pPr>
            <w:r>
              <w:rPr>
                <w:rFonts w:hint="eastAsia" w:ascii="宋体" w:hAnsi="宋体" w:cs="Arial"/>
                <w:spacing w:val="-6"/>
                <w:sz w:val="21"/>
                <w:szCs w:val="21"/>
              </w:rPr>
              <w:t>标准/规范/法规的执行情况</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未发生重大质量事故、安全、环境保护事故，遵守法律法规要求。进行合规评价，没有违反国家法律、法规及相关标准，能严格遵守国家有关环境和职业健康安全管理方面的相关规定，密切关注法律法规的变化，并适时调整，严格按体系标准执行。</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验证资质</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经查验营业执照有效。信用平台查询，无不良信息。</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Arial"/>
                <w:spacing w:val="-6"/>
                <w:kern w:val="2"/>
                <w:sz w:val="21"/>
                <w:szCs w:val="21"/>
                <w:highlight w:val="yellow"/>
                <w:lang w:val="en-US" w:eastAsia="zh-CN" w:bidi="ar-SA"/>
              </w:rPr>
            </w:pPr>
            <w:r>
              <w:rPr>
                <w:rFonts w:hint="eastAsia" w:ascii="宋体" w:hAnsi="宋体" w:cs="Arial"/>
                <w:spacing w:val="-6"/>
                <w:sz w:val="21"/>
                <w:szCs w:val="21"/>
              </w:rPr>
              <w:t>上次审核不符合项的验证</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highlight w:val="yellow"/>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highlight w:val="none"/>
                <w:lang w:val="en-US" w:eastAsia="zh-CN" w:bidi="ar-SA"/>
              </w:rPr>
            </w:pPr>
            <w:r>
              <w:rPr>
                <w:rFonts w:hint="eastAsia" w:ascii="宋体" w:hAnsi="宋体" w:cs="Arial"/>
                <w:spacing w:val="-6"/>
                <w:sz w:val="21"/>
                <w:szCs w:val="21"/>
                <w:highlight w:val="none"/>
                <w:lang w:val="en-US" w:eastAsia="zh-CN"/>
              </w:rPr>
              <w:t>上次审核时未提出不符合项。</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认证证书、标志的使用情况</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highlight w:val="yellow"/>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highlight w:val="none"/>
                <w:lang w:val="en-US" w:eastAsia="zh-CN" w:bidi="ar-SA"/>
              </w:rPr>
            </w:pPr>
            <w:r>
              <w:rPr>
                <w:rFonts w:hint="eastAsia" w:ascii="宋体" w:hAnsi="宋体" w:cs="Arial"/>
                <w:spacing w:val="-6"/>
                <w:sz w:val="21"/>
                <w:szCs w:val="21"/>
                <w:highlight w:val="none"/>
                <w:lang w:val="en-US" w:eastAsia="zh-CN"/>
              </w:rPr>
              <w:t>证书、标志用于招投标，符合要求。</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lang w:val="en-US" w:eastAsia="zh-CN"/>
              </w:rPr>
              <w:t>Y</w:t>
            </w:r>
          </w:p>
        </w:tc>
      </w:tr>
    </w:tbl>
    <w:p>
      <w:pPr>
        <w:rPr>
          <w:rFonts w:hint="eastAsia" w:eastAsia="宋体"/>
          <w:lang w:eastAsia="zh-CN"/>
        </w:rPr>
      </w:pP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8240;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B21E1"/>
    <w:rsid w:val="15851B1C"/>
    <w:rsid w:val="30084C28"/>
    <w:rsid w:val="379A1D23"/>
    <w:rsid w:val="3F6B487E"/>
    <w:rsid w:val="72EB77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15</TotalTime>
  <ScaleCrop>false</ScaleCrop>
  <LinksUpToDate>false</LinksUpToDate>
  <CharactersWithSpaces>147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2021-10-14T02:55:46Z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