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960"/>
        <w:gridCol w:w="745"/>
        <w:gridCol w:w="9255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2163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0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受审核部门：管理层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主管领导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翁鸣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李晓芳</w:t>
            </w:r>
          </w:p>
        </w:tc>
        <w:tc>
          <w:tcPr>
            <w:tcW w:w="159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3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0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审核员：肖新龙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rFonts w:hint="eastAsia"/>
                <w:sz w:val="24"/>
                <w:szCs w:val="24"/>
              </w:rPr>
              <w:t>1-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10-15 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3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0" w:type="dxa"/>
            <w:gridSpan w:val="2"/>
            <w:vAlign w:val="center"/>
          </w:tcPr>
          <w:p>
            <w:pPr>
              <w:tabs>
                <w:tab w:val="left" w:pos="709"/>
              </w:tabs>
              <w:ind w:right="57"/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Cs w:val="21"/>
              </w:rPr>
              <w:t>FSMS：4.1/4.2/4.3/4.4/5.1/5.2/5.3/6.1/6.2/6.3/7.1.1/</w:t>
            </w:r>
            <w:r>
              <w:rPr>
                <w:szCs w:val="21"/>
              </w:rPr>
              <w:t>7.4</w:t>
            </w:r>
            <w:r>
              <w:rPr>
                <w:rFonts w:hint="eastAsia"/>
                <w:szCs w:val="21"/>
              </w:rPr>
              <w:t>/9.1.1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9.3/10.2/10.3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vMerge w:val="restart"/>
          </w:tcPr>
          <w:p>
            <w:r>
              <w:rPr>
                <w:rFonts w:hint="eastAsia"/>
              </w:rPr>
              <w:t>理解组织及其环境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F4.1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管理手册第4.1条款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3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与最高管理者沟通：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组织的环境：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7"/>
              <w:gridCol w:w="73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</w:rPr>
                    <w:t>外部环境</w:t>
                  </w:r>
                </w:p>
              </w:tc>
              <w:tc>
                <w:tcPr>
                  <w:tcW w:w="737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法律法规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技术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竞争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市场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文化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社会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经济环境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政治环境□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网络安全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食品欺诈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食品防护 </w:t>
                  </w:r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蓄意污染 </w:t>
                  </w:r>
                  <w:r>
                    <w:rPr>
                      <w:rFonts w:hint="eastAsia"/>
                    </w:rPr>
                    <w:t>□其他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</w:rPr>
                    <w:t>列举主要的内容</w:t>
                  </w:r>
                </w:p>
              </w:tc>
              <w:tc>
                <w:tcPr>
                  <w:tcW w:w="737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食品添加剂属于食品行业中的小众行业，受供应链影响较大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</w:rPr>
                    <w:t>内部环境</w:t>
                  </w:r>
                </w:p>
              </w:tc>
              <w:tc>
                <w:tcPr>
                  <w:tcW w:w="7375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价值观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文化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知识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绩效 </w:t>
                  </w:r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工艺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</w:instrText>
                  </w:r>
                  <w:r>
                    <w:rPr>
                      <w:rFonts w:hint="eastAsia" w:ascii="宋体" w:hAnsi="宋体"/>
                      <w:position w:val="2"/>
                      <w:sz w:val="13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</w:rPr>
                    <w:instrText xml:space="preserve"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设备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人员能力 □其他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</w:rPr>
                    <w:t>列举主要的内容</w:t>
                  </w:r>
                </w:p>
              </w:tc>
              <w:tc>
                <w:tcPr>
                  <w:tcW w:w="7375" w:type="dxa"/>
                </w:tcPr>
                <w:p>
                  <w:pPr>
                    <w:pStyle w:val="2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员工均在企业从事多年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组织优势说明</w:t>
                  </w:r>
                </w:p>
              </w:tc>
              <w:tc>
                <w:tcPr>
                  <w:tcW w:w="7375" w:type="dxa"/>
                </w:tcPr>
                <w:p>
                  <w:pPr>
                    <w:pStyle w:val="2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自有矿山，生产食品添加剂多年，具备丰富的行业经验</w:t>
                  </w:r>
                </w:p>
                <w:p>
                  <w:pPr>
                    <w:pStyle w:val="2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占据地理优势，便于进出货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组织劣势说明</w:t>
                  </w:r>
                </w:p>
              </w:tc>
              <w:tc>
                <w:tcPr>
                  <w:tcW w:w="7375" w:type="dxa"/>
                </w:tcPr>
                <w:p>
                  <w:pPr>
                    <w:rPr>
                      <w:rFonts w:hint="default" w:ascii="宋体" w:hAnsi="宋体" w:eastAsia="宋体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  <w:lang w:val="en-US" w:eastAsia="zh-CN"/>
                    </w:rPr>
                    <w:t>对食品安全管理体系熟悉程度还需加强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主要风险的说明</w:t>
                  </w:r>
                </w:p>
              </w:tc>
              <w:tc>
                <w:tcPr>
                  <w:tcW w:w="737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原料方解石的管控，品质把控不当，化学危害特性超标，导致产品质量不合格，市场退货；对矿山的管控，无矿山原料影响生产；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7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机遇的说明</w:t>
                  </w:r>
                </w:p>
              </w:tc>
              <w:tc>
                <w:tcPr>
                  <w:tcW w:w="737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市场处于整合期，利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>用现有资源，开发及扩大市场，扩大服务范围</w:t>
                  </w:r>
                </w:p>
              </w:tc>
            </w:tr>
          </w:tbl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主要证据体现在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《组织内部外部环境识别表》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PEST分析企业外部环境因素及应对措施</w:t>
            </w:r>
            <w:r>
              <w:rPr>
                <w:rFonts w:hint="eastAsia"/>
              </w:rPr>
              <w:t xml:space="preserve">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《组织及其环境分析表》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《年度业务计划》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vMerge w:val="restart"/>
          </w:tcPr>
          <w:p>
            <w:r>
              <w:rPr>
                <w:rFonts w:hint="eastAsia"/>
              </w:rPr>
              <w:t>理解相关方的需求和期望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F4.2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《相关方需求和期望控制程序》、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管理手册第4.2条款</w:t>
            </w:r>
            <w:r>
              <w:rPr>
                <w:rFonts w:hint="eastAsia"/>
                <w:lang w:eastAsia="zh-CN"/>
              </w:rPr>
              <w:t>、</w:t>
            </w:r>
          </w:p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2163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现场沟通抽查：</w:t>
            </w:r>
          </w:p>
          <w:tbl>
            <w:tblPr>
              <w:tblStyle w:val="8"/>
              <w:tblW w:w="89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81"/>
              <w:gridCol w:w="2701"/>
              <w:gridCol w:w="472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重要的相关方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相关方名称举例</w:t>
                  </w: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重要的相关方需求和希望（不必全选）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主管部门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建德市市场监督管理局</w:t>
                  </w: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遵守食品安全相关的法律法规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供方</w:t>
                  </w:r>
                </w:p>
              </w:tc>
              <w:tc>
                <w:tcPr>
                  <w:tcW w:w="2701" w:type="dxa"/>
                </w:tcPr>
                <w:p>
                  <w:pPr>
                    <w:pStyle w:val="1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lang w:val="en-US" w:eastAsia="zh-CN"/>
                    </w:rPr>
                    <w:t>泰兴市申泰塑业有限公司、建德市龙华塑化有限公司后洞山方解石矿等</w:t>
                  </w: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组织的持续经营、明示食品安全采购要求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☑顾客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连云港冠苏实业有限公司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、宿迁市海润贸易有限公司等</w:t>
                  </w: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按时按质按量交付产品或服务；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产品/服务质量持续满足要求</w:t>
                  </w:r>
                </w:p>
                <w:p>
                  <w:pPr>
                    <w:ind w:left="210" w:hanging="210" w:hangingChars="10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☑不因食品安全问题影响按时按质按量交付产品或服务；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消费者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☑良好的使用感受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☑不因食品安全问题带来健康损害和生命威胁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员工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szCs w:val="24"/>
                      <w:highlight w:val="none"/>
                    </w:rPr>
                    <w:t>雇员</w:t>
                  </w: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☑组织的持续经营、自我发展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☑不因食品安全问题停产，组织持续经营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投资方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自然人</w:t>
                  </w: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</w:instrText>
                  </w:r>
                  <w:r>
                    <w:rPr>
                      <w:rFonts w:hint="eastAsia" w:ascii="宋体" w:hAnsi="宋体"/>
                      <w:position w:val="2"/>
                      <w:sz w:val="13"/>
                      <w:highlight w:val="none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组织的持续经营、盈利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不因食品安全问题停产，组织持续经营、盈利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社区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不因食品安全问题影响周围人员的就业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□其他</w:t>
                  </w:r>
                </w:p>
              </w:tc>
              <w:tc>
                <w:tcPr>
                  <w:tcW w:w="2701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472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主要证据体现在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《相关方期望要求识别表》、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《相关方的需求和期望分析表》、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《年度业务计划》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确定食品安全管理体系的范围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F4.3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管理手册第4.3条款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组织应明确相关管理体系的范围；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1"/>
              <w:gridCol w:w="5446"/>
              <w:gridCol w:w="168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范围的项目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内容描述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产品/服务的活动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sz w:val="21"/>
                      <w:szCs w:val="21"/>
                    </w:rPr>
                    <w:t>食品添加剂（碳酸钙【重质碳酸钙（I）】）的生产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 xml:space="preserve">审核范围描述 </w:t>
                  </w:r>
                </w:p>
              </w:tc>
              <w:tc>
                <w:tcPr>
                  <w:tcW w:w="5446" w:type="dxa"/>
                </w:tcPr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highlight w:val="none"/>
                    </w:rPr>
                  </w:pPr>
                  <w:r>
                    <w:rPr>
                      <w:sz w:val="21"/>
                      <w:szCs w:val="21"/>
                    </w:rPr>
                    <w:t>位于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浙江省杭州市</w:t>
                  </w:r>
                  <w:r>
                    <w:rPr>
                      <w:sz w:val="21"/>
                      <w:szCs w:val="21"/>
                    </w:rPr>
                    <w:t>建德市大同镇傅家村草坪山（工业功能区）建德市龙华塑化有限公司生产车间的食品添加剂[碳酸钙（重质碳酸钙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I类</w:t>
                  </w:r>
                  <w:r>
                    <w:rPr>
                      <w:sz w:val="21"/>
                      <w:szCs w:val="21"/>
                    </w:rPr>
                    <w:t>）]的生产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注册地址</w:t>
                  </w:r>
                </w:p>
              </w:tc>
              <w:tc>
                <w:tcPr>
                  <w:tcW w:w="5446" w:type="dxa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bookmarkStart w:id="0" w:name="注册地址"/>
                  <w:r>
                    <w:rPr>
                      <w:rFonts w:asciiTheme="minorEastAsia" w:hAnsiTheme="minorEastAsia" w:eastAsiaTheme="minorEastAsia"/>
                      <w:sz w:val="20"/>
                    </w:rPr>
                    <w:t>建德市大同镇傅家村草坪山（工业功能区）</w:t>
                  </w:r>
                  <w:bookmarkEnd w:id="0"/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95" w:hRule="atLeast"/>
              </w:trPr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经营地址</w:t>
                  </w:r>
                </w:p>
              </w:tc>
              <w:tc>
                <w:tcPr>
                  <w:tcW w:w="5446" w:type="dxa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bookmarkStart w:id="1" w:name="生产地址"/>
                  <w:bookmarkStart w:id="2" w:name="办公地址"/>
                  <w:r>
                    <w:rPr>
                      <w:rFonts w:asciiTheme="minorEastAsia" w:hAnsiTheme="minorEastAsia" w:eastAsiaTheme="minorEastAsia"/>
                      <w:sz w:val="20"/>
                    </w:rPr>
                    <w:t>浙江省杭州市建德市大同镇傅家村草坪山（工业功能区）</w:t>
                  </w:r>
                  <w:bookmarkEnd w:id="1"/>
                  <w:bookmarkEnd w:id="2"/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临时现场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多场所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组织单元（部门/分支）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与组织结构图一致</w:t>
                  </w:r>
                </w:p>
                <w:p>
                  <w:pPr>
                    <w:rPr>
                      <w:highlight w:val="none"/>
                      <w:u w:val="singl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分支机构，如：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               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临时场所，如：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         </w:t>
                  </w:r>
                  <w:r>
                    <w:rPr>
                      <w:highlight w:val="none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时间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</w:instrText>
                  </w:r>
                  <w:r>
                    <w:rPr>
                      <w:rFonts w:hint="eastAsia" w:ascii="宋体" w:hAnsi="宋体"/>
                      <w:highlight w:val="none"/>
                      <w:lang w:eastAsia="zh-CN"/>
                    </w:rPr>
                    <w:instrText xml:space="preserve">,</w:instrText>
                  </w:r>
                  <w:r>
                    <w:rPr>
                      <w:rFonts w:hint="eastAsia" w:ascii="宋体" w:hAnsi="宋体"/>
                      <w:position w:val="2"/>
                      <w:sz w:val="13"/>
                      <w:highlight w:val="none"/>
                      <w:lang w:eastAsia="zh-CN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 xml:space="preserve"> 体系建立以来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2021.06.01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近一年以来，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/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在企业的管理手册中有描述。</w:t>
            </w:r>
          </w:p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食品安全管理体系及其过程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 F4.4 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管理手册第4.4条款、</w:t>
            </w:r>
            <w:r>
              <w:rPr/>
              <w:sym w:font="Wingdings" w:char="00A8"/>
            </w:r>
            <w:r>
              <w:rPr>
                <w:rFonts w:hint="eastAsia"/>
              </w:rPr>
              <w:t>《过程清单》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pPr>
              <w:spacing w:before="40" w:after="40"/>
              <w:rPr>
                <w:lang w:val="en-GB"/>
              </w:rPr>
            </w:pPr>
            <w:r>
              <w:rPr>
                <w:rFonts w:hint="eastAsia"/>
              </w:rPr>
              <w:t>组织对管理体系的过程进行了确认，对输入、输出、</w:t>
            </w:r>
            <w:r>
              <w:rPr>
                <w:rFonts w:hint="eastAsia"/>
                <w:lang w:val="en-GB"/>
              </w:rPr>
              <w:t>顺序及相互</w:t>
            </w:r>
            <w:r>
              <w:rPr>
                <w:rFonts w:hint="eastAsia"/>
              </w:rPr>
              <w:t>作用</w:t>
            </w:r>
            <w:r>
              <w:rPr>
                <w:rFonts w:hint="eastAsia"/>
                <w:lang w:val="en-GB"/>
              </w:rPr>
              <w:t>已被</w:t>
            </w:r>
            <w:r>
              <w:rPr>
                <w:rFonts w:hint="eastAsia"/>
              </w:rPr>
              <w:t>明确</w:t>
            </w:r>
            <w:r>
              <w:rPr>
                <w:rFonts w:hint="eastAsia"/>
                <w:lang w:val="en-GB"/>
              </w:rPr>
              <w:t>地提出并被充分控制。</w:t>
            </w:r>
            <w:r>
              <w:rPr>
                <w:rFonts w:hint="eastAsia"/>
              </w:rPr>
              <w:t>采用了过程方法管理相关管理体系及其过程；</w:t>
            </w:r>
            <w:r>
              <w:rPr>
                <w:rFonts w:hint="eastAsia"/>
                <w:lang w:val="en-GB"/>
              </w:rPr>
              <w:t>用文件化的绩效指标定期评审过程。</w:t>
            </w:r>
          </w:p>
          <w:p>
            <w:pPr>
              <w:spacing w:before="40" w:after="40"/>
              <w:jc w:val="left"/>
            </w:pPr>
          </w:p>
          <w:p>
            <w:pPr>
              <w:spacing w:before="40" w:after="40"/>
              <w:jc w:val="left"/>
            </w:pPr>
            <w:r>
              <w:rPr>
                <w:rFonts w:hint="eastAsia"/>
              </w:rPr>
              <w:t>FSMS：</w:t>
            </w:r>
          </w:p>
          <w:p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影响运行的重要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（</w:t>
            </w:r>
            <w:r>
              <w:rPr>
                <w:rFonts w:hint="eastAsia"/>
                <w:b/>
                <w:bCs/>
              </w:rPr>
              <w:t>不必全选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>
            <w:pPr>
              <w:spacing w:before="40" w:after="40"/>
              <w:ind w:left="210" w:hanging="210" w:hangingChars="100"/>
            </w:pPr>
            <w:r>
              <w:rPr>
                <w:rFonts w:hint="eastAsia"/>
              </w:rPr>
              <w:t xml:space="preserve">☑人员能力管理 ☑危害分析 ☑PRP制订和控制 ☑危害控制计划（OPRP、HACCP）制订和控制 </w:t>
            </w:r>
          </w:p>
          <w:p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 xml:space="preserve">□特种设备管理 ☑控制措施组合确认  ☑PRP和危害控制措施的效果验证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其他（</w:t>
            </w:r>
            <w:r>
              <w:rPr>
                <w:rFonts w:hint="eastAsia"/>
                <w:lang w:val="en-US" w:eastAsia="zh-CN"/>
              </w:rPr>
              <w:t>运输车辆的</w:t>
            </w:r>
            <w:r>
              <w:rPr>
                <w:rFonts w:hint="eastAsia"/>
              </w:rPr>
              <w:t>管理）</w:t>
            </w:r>
          </w:p>
          <w:p>
            <w:pPr>
              <w:pStyle w:val="2"/>
            </w:pPr>
          </w:p>
          <w:p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影响体系运行的外包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（</w:t>
            </w:r>
            <w:r>
              <w:rPr>
                <w:rFonts w:hint="eastAsia"/>
                <w:b/>
                <w:bCs/>
              </w:rPr>
              <w:t>根据实际情况选择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>□建立FSMS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□危害分析 □制订PRP和OPRP、HACCP计划 □生产/服务过程  □产品运输 </w:t>
            </w:r>
          </w:p>
          <w:p>
            <w:pPr>
              <w:spacing w:before="40" w:after="4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□设备维修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□人员培训 □PRP和OPRP、HACCP验证  ☑其他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无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 </w:t>
            </w:r>
          </w:p>
          <w:p>
            <w:pPr>
              <w:spacing w:before="40" w:after="40"/>
              <w:rPr>
                <w:highlight w:val="cyan"/>
              </w:rPr>
            </w:pPr>
            <w:r>
              <w:rPr>
                <w:rFonts w:hint="eastAsia"/>
                <w:lang w:val="en-GB"/>
              </w:rPr>
              <w:t>组织通过</w:t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目标的建立、实施、顾客满意的测量、内审和管理评审等方式，充分地</w:t>
            </w:r>
            <w:r>
              <w:rPr>
                <w:rFonts w:hint="eastAsia"/>
              </w:rPr>
              <w:t>评审，管理及</w:t>
            </w:r>
            <w:r>
              <w:rPr>
                <w:rFonts w:hint="eastAsia"/>
                <w:lang w:val="en-GB"/>
              </w:rPr>
              <w:t>控制这些</w:t>
            </w:r>
            <w:r>
              <w:rPr>
                <w:rFonts w:hint="eastAsia"/>
              </w:rPr>
              <w:t>管理体系覆盖的过程</w:t>
            </w:r>
            <w:r>
              <w:rPr>
                <w:rFonts w:hint="eastAsia"/>
                <w:lang w:val="en-GB"/>
              </w:rPr>
              <w:t>和活动</w:t>
            </w:r>
            <w:r>
              <w:rPr>
                <w:rFonts w:hint="eastAsia"/>
              </w:rPr>
              <w:t>。</w:t>
            </w:r>
          </w:p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领导作用与承诺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F5.1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管理手册第5.1条款  和“</w:t>
            </w:r>
            <w:r>
              <w:rPr>
                <w:rFonts w:hint="eastAsia"/>
                <w:lang w:val="en-US" w:eastAsia="zh-CN"/>
              </w:rPr>
              <w:t>5.3</w:t>
            </w:r>
            <w:r>
              <w:rPr>
                <w:rFonts w:hint="eastAsia"/>
              </w:rPr>
              <w:t>各部门及岗位职责”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与最高管理者沟通其领导作用与承诺：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确保为食品安全管理体系制定食品安全方针和食品安全目标， 并与组织的战略方向相一致；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确保食品安全管理体系要求整合到组织的业务过程中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确保获得食品安全管理体系所需的资源</w:t>
            </w:r>
            <w:r>
              <w:rPr>
                <w:rFonts w:hint="eastAsia"/>
                <w:color w:val="000000"/>
                <w:szCs w:val="21"/>
              </w:rPr>
              <w:t xml:space="preserve">；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沟通有效食品安全管理的重要性， 符合食品安全管理体系要求、 法律法规要求和与食品安全有关的顾客要求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确保对FSMS进行评估和保持，以实现其预期结果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指导和支持员工为食品安全管理体系的有效性做出贡献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推动持续改进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支持其他管理者履行其相关领域的食品安全领导职责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napToGrid w:val="0"/>
              <w:spacing w:line="240" w:lineRule="atLeast"/>
              <w:rPr>
                <w:rFonts w:ascii="黑体" w:eastAsia="黑体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覆盖了标准第5.1章的全面要求，</w:t>
            </w:r>
            <w:r>
              <w:rPr>
                <w:rFonts w:hint="eastAsia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未覆盖标准第5.1章的全面要求，缺少：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</w:t>
            </w:r>
          </w:p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食品安全方针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F5.2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管理手册第5.2条款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163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pPr>
              <w:rPr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最高管理者制定了文件化的管理体系方针：</w:t>
            </w:r>
          </w:p>
          <w:p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“</w:t>
            </w:r>
            <w:bookmarkStart w:id="3" w:name="_Hlk84630482"/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质量安全第一；绿色健康精品；持续改进发展</w:t>
            </w:r>
            <w:bookmarkEnd w:id="3"/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”</w:t>
            </w:r>
          </w:p>
          <w:p>
            <w:pPr>
              <w:pStyle w:val="6"/>
            </w:pP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适应组织的宗旨和环境并支持其战略方向</w:t>
            </w:r>
          </w:p>
          <w:p>
            <w:pPr>
              <w:rPr>
                <w:lang w:val="en-GB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方针合理恰当并为相应的</w:t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目标提供了框架。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包括满足适用要求的承诺； </w:t>
            </w:r>
          </w:p>
          <w:p>
            <w:r>
              <w:rPr>
                <w:rFonts w:hint="eastAsia"/>
              </w:rPr>
              <w:t>☑包括满足适用食品安全要求的承诺，包括立法/执法要求和顾客的相互同意的食品安全要求（FSMS）</w:t>
            </w:r>
          </w:p>
          <w:p>
            <w:pPr>
              <w:rPr>
                <w:lang w:val="en-GB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包括持续改进质量管理体系的承诺</w:t>
            </w:r>
          </w:p>
          <w:p>
            <w:r>
              <w:rPr>
                <w:rFonts w:hint="eastAsia"/>
              </w:rPr>
              <w:t>☑应对内部和外部沟通（FSMS）</w:t>
            </w:r>
          </w:p>
          <w:p>
            <w:r>
              <w:rPr>
                <w:rFonts w:hint="eastAsia"/>
              </w:rPr>
              <w:t>☑解决需求确保食品安全相关的能力（FSMS）</w:t>
            </w:r>
          </w:p>
          <w:p/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在组织内得到沟通、理解和应用，通过：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展板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标语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会议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文件发放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在相关方有需要时提供。通过：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网站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宣传册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微信等网络渠道</w:t>
            </w:r>
          </w:p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组织的岗位、职责和权限</w:t>
            </w:r>
          </w:p>
          <w:p/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F5.3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管理手册第5.3条款和“</w:t>
            </w:r>
            <w:r>
              <w:rPr>
                <w:rFonts w:hint="eastAsia"/>
                <w:lang w:val="en-US" w:eastAsia="zh-CN"/>
              </w:rPr>
              <w:t>5.3.2：食品安全管理体系职能分配表</w:t>
            </w:r>
            <w:r>
              <w:rPr>
                <w:rFonts w:hint="eastAsia"/>
              </w:rPr>
              <w:t>”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3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最高管理者确定了组织架构及相关岗位的职责、权限，并进行了全员的沟通和理解；</w:t>
            </w:r>
          </w:p>
          <w:p>
            <w:r>
              <w:rPr>
                <w:rFonts w:hint="eastAsia"/>
              </w:rPr>
              <w:t>如：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0"/>
              <w:gridCol w:w="1831"/>
              <w:gridCol w:w="2691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1831" w:type="dxa"/>
                </w:tcPr>
                <w:p>
                  <w:r>
                    <w:rPr>
                      <w:rFonts w:hint="eastAsia"/>
                    </w:rPr>
                    <w:t>主管部门名称</w:t>
                  </w:r>
                </w:p>
              </w:tc>
              <w:tc>
                <w:tcPr>
                  <w:tcW w:w="2691" w:type="dxa"/>
                </w:tcPr>
                <w:p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主管部门名称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食品安全管理体系策划和推动</w:t>
                  </w:r>
                </w:p>
              </w:tc>
              <w:tc>
                <w:tcPr>
                  <w:tcW w:w="1831" w:type="dxa"/>
                </w:tcPr>
                <w:p>
                  <w:r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2691" w:type="dxa"/>
                </w:tcPr>
                <w:p>
                  <w:r>
                    <w:rPr>
                      <w:rFonts w:hint="eastAsia"/>
                    </w:rPr>
                    <w:t>OPRP和HACCP的实施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生技部、质检部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采购控制</w:t>
                  </w:r>
                </w:p>
              </w:tc>
              <w:tc>
                <w:tcPr>
                  <w:tcW w:w="183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供销部</w:t>
                  </w:r>
                </w:p>
              </w:tc>
              <w:tc>
                <w:tcPr>
                  <w:tcW w:w="2691" w:type="dxa"/>
                </w:tcPr>
                <w:p>
                  <w:r>
                    <w:rPr>
                      <w:rFonts w:hint="eastAsia"/>
                    </w:rPr>
                    <w:t>FSMS验证和确认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食品安全小组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人员健康</w:t>
                  </w:r>
                </w:p>
              </w:tc>
              <w:tc>
                <w:tcPr>
                  <w:tcW w:w="183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综合办</w:t>
                  </w:r>
                </w:p>
              </w:tc>
              <w:tc>
                <w:tcPr>
                  <w:tcW w:w="2691" w:type="dxa"/>
                </w:tcPr>
                <w:p>
                  <w:r>
                    <w:rPr>
                      <w:rFonts w:hint="eastAsia"/>
                    </w:rPr>
                    <w:t>监视和测量控制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质检部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/>
              </w:tc>
              <w:tc>
                <w:tcPr>
                  <w:tcW w:w="1831" w:type="dxa"/>
                </w:tcPr>
                <w:p/>
              </w:tc>
              <w:tc>
                <w:tcPr>
                  <w:tcW w:w="2691" w:type="dxa"/>
                </w:tcPr>
                <w:p/>
              </w:tc>
              <w:tc>
                <w:tcPr>
                  <w:tcW w:w="2261" w:type="dxa"/>
                </w:tcPr>
                <w:p/>
              </w:tc>
            </w:tr>
          </w:tbl>
          <w:p/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2163" w:type="dxa"/>
            <w:shd w:val="clear" w:color="auto" w:fill="auto"/>
          </w:tcPr>
          <w:p/>
        </w:tc>
        <w:tc>
          <w:tcPr>
            <w:tcW w:w="960" w:type="dxa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/>
        </w:tc>
        <w:tc>
          <w:tcPr>
            <w:tcW w:w="9255" w:type="dxa"/>
            <w:shd w:val="clear" w:color="auto" w:fill="auto"/>
          </w:tcPr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食品安全小组组长：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李晓芳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  <w:lang w:val="en-US" w:eastAsia="zh-CN"/>
              </w:rPr>
              <w:t xml:space="preserve">女士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  <w:p>
            <w:pPr>
              <w:pStyle w:val="6"/>
              <w:rPr>
                <w:rFonts w:hint="eastAsia"/>
                <w:lang w:val="en-US" w:eastAsia="zh-CN"/>
              </w:rPr>
            </w:pPr>
          </w:p>
          <w:p>
            <w:r>
              <w:t>食品安全组长负责：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确保FSMS的建立、实施、维护和更新；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管理和组织食品安全小组的工作；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确保食品安全团队的相关培训和能力；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向最高管理层报告FSMS的有效性和适宜性。</w:t>
            </w:r>
          </w:p>
          <w:p/>
          <w:p>
            <w:r>
              <w:t>所有人员有责任向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食品安全组长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食品安全小组成员 </w:t>
            </w:r>
            <w:r>
              <w:t>报告与FSMS有关的问题</w:t>
            </w:r>
            <w:r>
              <w:rPr>
                <w:rFonts w:hint="eastAsia"/>
              </w:rPr>
              <w:t>。</w:t>
            </w:r>
          </w:p>
        </w:tc>
        <w:tc>
          <w:tcPr>
            <w:tcW w:w="1591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应对风险和机遇的措施</w:t>
            </w:r>
          </w:p>
          <w:p/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F6.1.1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管理手册第6.1条款、</w:t>
            </w:r>
            <w:r>
              <w:rPr>
                <w:rFonts w:hint="eastAsia" w:ascii="Times New Roman" w:hAnsi="Times New Roman" w:eastAsia="宋体" w:cs="Times New Roma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《风险和机遇控制程序》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2163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分析风险的方法：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头脑风暴法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FMEA（潜在失效模式分析）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应对风险的措施类型包括：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规避风险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为寻求机遇承担风险、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消除风险源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改变风险的可能性和后果、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分担风险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通过信息充分的决策而保留风险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列举2~3项应对主要风险的描述：         </w:t>
            </w:r>
          </w:p>
          <w:tbl>
            <w:tblPr>
              <w:tblStyle w:val="8"/>
              <w:tblpPr w:leftFromText="180" w:rightFromText="180" w:vertAnchor="text" w:horzAnchor="page" w:tblpX="97" w:tblpY="208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63"/>
              <w:gridCol w:w="4580"/>
              <w:gridCol w:w="10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6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主要的风险描述</w:t>
                  </w:r>
                </w:p>
              </w:tc>
              <w:tc>
                <w:tcPr>
                  <w:tcW w:w="4580" w:type="dxa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应对措施</w:t>
                  </w:r>
                </w:p>
              </w:tc>
              <w:tc>
                <w:tcPr>
                  <w:tcW w:w="107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措施的有效性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63" w:type="dxa"/>
                  <w:vAlign w:val="center"/>
                </w:tcPr>
                <w:p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>国家层面限电政策，影响生产加工，会存在给客户供货不及时的情况</w:t>
                  </w:r>
                </w:p>
              </w:tc>
              <w:tc>
                <w:tcPr>
                  <w:tcW w:w="4580" w:type="dxa"/>
                </w:tcPr>
                <w:p>
                  <w:pPr>
                    <w:numPr>
                      <w:ilvl w:val="0"/>
                      <w:numId w:val="1"/>
                    </w:num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及时跟踪了解限电政策及时间安排；</w:t>
                  </w:r>
                </w:p>
                <w:p>
                  <w:pPr>
                    <w:numPr>
                      <w:ilvl w:val="0"/>
                      <w:numId w:val="1"/>
                    </w:num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提前沟通客户，提前下订单；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7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63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</w:p>
              </w:tc>
              <w:tc>
                <w:tcPr>
                  <w:tcW w:w="4580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</w:p>
              </w:tc>
              <w:tc>
                <w:tcPr>
                  <w:tcW w:w="1079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63" w:type="dxa"/>
                </w:tcPr>
                <w:p>
                  <w:pPr>
                    <w:rPr>
                      <w:szCs w:val="24"/>
                      <w:highlight w:val="none"/>
                    </w:rPr>
                  </w:pPr>
                </w:p>
              </w:tc>
              <w:tc>
                <w:tcPr>
                  <w:tcW w:w="4580" w:type="dxa"/>
                </w:tcPr>
                <w:p>
                  <w:pPr>
                    <w:snapToGrid w:val="0"/>
                    <w:spacing w:line="360" w:lineRule="exact"/>
                    <w:jc w:val="left"/>
                    <w:rPr>
                      <w:rFonts w:ascii="宋体" w:hAnsi="宋体" w:cs="宋体"/>
                      <w:szCs w:val="21"/>
                      <w:highlight w:val="none"/>
                    </w:rPr>
                  </w:pPr>
                </w:p>
              </w:tc>
              <w:tc>
                <w:tcPr>
                  <w:tcW w:w="1079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 xml:space="preserve">应对机遇的措施类型包括：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采用新实践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推出新产品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开辟新市场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赢得新顾客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建立合作伙伴关系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利用新技术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列举2~3项应对重要机遇的描述：</w:t>
            </w:r>
          </w:p>
          <w:tbl>
            <w:tblPr>
              <w:tblStyle w:val="8"/>
              <w:tblpPr w:leftFromText="180" w:rightFromText="180" w:vertAnchor="text" w:horzAnchor="page" w:tblpX="106" w:tblpY="206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34"/>
              <w:gridCol w:w="3913"/>
              <w:gridCol w:w="17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</w:trPr>
              <w:tc>
                <w:tcPr>
                  <w:tcW w:w="30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主要的机遇描述</w:t>
                  </w:r>
                </w:p>
              </w:tc>
              <w:tc>
                <w:tcPr>
                  <w:tcW w:w="3913" w:type="dxa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应对措施</w:t>
                  </w:r>
                </w:p>
              </w:tc>
              <w:tc>
                <w:tcPr>
                  <w:tcW w:w="175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措施的有效性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0" w:hRule="atLeast"/>
              </w:trPr>
              <w:tc>
                <w:tcPr>
                  <w:tcW w:w="3034" w:type="dxa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目前国家对食品添加剂生产的要求越来越严格，从管理、产品安全方面要求越来越高</w:t>
                  </w:r>
                </w:p>
              </w:tc>
              <w:tc>
                <w:tcPr>
                  <w:tcW w:w="3913" w:type="dxa"/>
                </w:tcPr>
                <w:p>
                  <w:pPr>
                    <w:numPr>
                      <w:ilvl w:val="0"/>
                      <w:numId w:val="2"/>
                    </w:num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自由矿山、原料方解石产地直采；</w:t>
                  </w:r>
                </w:p>
                <w:p>
                  <w:pPr>
                    <w:pStyle w:val="2"/>
                    <w:numPr>
                      <w:ilvl w:val="0"/>
                      <w:numId w:val="2"/>
                    </w:numPr>
                    <w:ind w:left="0" w:leftChars="0" w:firstLine="0" w:firstLineChars="0"/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建立食品安全管理体系，规范化管理；</w:t>
                  </w:r>
                </w:p>
                <w:p>
                  <w:pPr>
                    <w:pStyle w:val="2"/>
                    <w:numPr>
                      <w:ilvl w:val="0"/>
                      <w:numId w:val="2"/>
                    </w:numPr>
                    <w:ind w:left="0" w:leftChars="0" w:firstLine="0" w:firstLineChars="0"/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及时了解国家监管部门要求；</w:t>
                  </w:r>
                </w:p>
              </w:tc>
              <w:tc>
                <w:tcPr>
                  <w:tcW w:w="175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8" w:hRule="atLeast"/>
              </w:trPr>
              <w:tc>
                <w:tcPr>
                  <w:tcW w:w="3034" w:type="dxa"/>
                </w:tcPr>
                <w:p>
                  <w:pPr>
                    <w:rPr>
                      <w:szCs w:val="24"/>
                      <w:highlight w:val="yellow"/>
                    </w:rPr>
                  </w:pPr>
                </w:p>
              </w:tc>
              <w:tc>
                <w:tcPr>
                  <w:tcW w:w="3913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752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3034" w:type="dxa"/>
                </w:tcPr>
                <w:p>
                  <w:pPr>
                    <w:rPr>
                      <w:szCs w:val="24"/>
                      <w:highlight w:val="yellow"/>
                    </w:rPr>
                  </w:pPr>
                </w:p>
              </w:tc>
              <w:tc>
                <w:tcPr>
                  <w:tcW w:w="3913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752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FSMS：</w:t>
            </w:r>
          </w:p>
          <w:p>
            <w:pPr>
              <w:jc w:val="left"/>
            </w:pPr>
            <w:r>
              <w:rPr>
                <w:rFonts w:hint="eastAsia"/>
              </w:rPr>
              <w:t>组织食品安全管理体系范围内的潜在紧急情况，如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法规未识别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违规操作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其他                     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可能具有食品安全危害的潜在紧急情况，如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食物中毒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停水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停电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 停蒸汽   </w:t>
            </w:r>
          </w:p>
          <w:p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 制冷设备故障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车辆故障 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其他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  <w:lang w:val="en-US" w:eastAsia="zh-CN"/>
              </w:rPr>
              <w:t xml:space="preserve">供应链发生变化   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p/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确保FSMS 能够达到其预期结果;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提高理想效果;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防止或减少不良后果;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实现持续改进。</w:t>
            </w:r>
          </w:p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2163" w:type="dxa"/>
            <w:vMerge w:val="restart"/>
            <w:shd w:val="clear" w:color="auto" w:fill="auto"/>
          </w:tcPr>
          <w:p/>
        </w:tc>
        <w:tc>
          <w:tcPr>
            <w:tcW w:w="960" w:type="dxa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F6.1.2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pPr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该组织策划了：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a) 解决这些风险和机遇的行动;——企业提供了《</w:t>
            </w:r>
            <w:r>
              <w:rPr>
                <w:rFonts w:hint="eastAsia" w:ascii="CIDFont+F5" w:hAnsi="CIDFont+F5" w:eastAsia="CIDFont+F5"/>
                <w:lang w:val="en-US" w:eastAsia="zh-CN"/>
              </w:rPr>
              <w:t>风险和机遇评估分析报告</w:t>
            </w:r>
            <w:r>
              <w:rPr>
                <w:rFonts w:hint="eastAsia" w:ascii="CIDFont+F5" w:hAnsi="CIDFont+F5" w:eastAsia="CIDFont+F5"/>
              </w:rPr>
              <w:t>》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b) 并进行了: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1) 将行动整合并实施到其FSMS流程中;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2) 评估这些行动的有效性。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 </w:t>
            </w:r>
          </w:p>
        </w:tc>
        <w:tc>
          <w:tcPr>
            <w:tcW w:w="1591" w:type="dxa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163" w:type="dxa"/>
            <w:vMerge w:val="continue"/>
            <w:shd w:val="clear" w:color="auto" w:fill="auto"/>
          </w:tcPr>
          <w:p>
            <w:pPr>
              <w:rPr>
                <w:highlight w:val="yellow"/>
              </w:rPr>
            </w:pPr>
          </w:p>
        </w:tc>
        <w:tc>
          <w:tcPr>
            <w:tcW w:w="960" w:type="dxa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F6.1.3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该组织为应对风险和机遇而采取的行动与以下方面相称：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 xml:space="preserve">a) 对食品安全要求的影响;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b) 为顾客提供一致的食品产品与服务;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  <w:p>
            <w:pPr>
              <w:jc w:val="left"/>
            </w:pPr>
            <w:r>
              <w:rPr>
                <w:rFonts w:hint="eastAsia" w:ascii="CIDFont+F5" w:hAnsi="CIDFont+F5" w:eastAsia="CIDFont+F5"/>
              </w:rPr>
              <w:t xml:space="preserve">c) 食品链中相关方的要求。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</w:tc>
        <w:tc>
          <w:tcPr>
            <w:tcW w:w="1591" w:type="dxa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/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手册第6.2条款、《目标管理程序》 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及考核表</w:t>
            </w:r>
            <w:r>
              <w:rPr>
                <w:rFonts w:hint="eastAsia"/>
              </w:rPr>
              <w:t>》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组织建立了与方针一致的文件化的管理目标。为实现总的</w:t>
            </w:r>
            <w:r>
              <w:rPr>
                <w:rFonts w:hint="eastAsia" w:ascii="宋体" w:hAnsi="宋体"/>
                <w:szCs w:val="21"/>
              </w:rPr>
              <w:t>食品安全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 w:ascii="宋体" w:hAnsi="宋体"/>
                <w:szCs w:val="21"/>
              </w:rPr>
              <w:t>食品安全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</w:t>
            </w:r>
            <w:r>
              <w:rPr>
                <w:rFonts w:hint="eastAsia" w:ascii="宋体" w:hAnsi="宋体"/>
                <w:szCs w:val="21"/>
              </w:rPr>
              <w:t>食品安全</w:t>
            </w:r>
            <w:r>
              <w:rPr>
                <w:rFonts w:hint="eastAsia"/>
              </w:rPr>
              <w:t>目标实现情况的评价，及其测量方法是：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tbl>
            <w:tblPr>
              <w:tblStyle w:val="8"/>
              <w:tblW w:w="97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66"/>
              <w:gridCol w:w="1072"/>
              <w:gridCol w:w="3291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6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目标</w:t>
                  </w:r>
                </w:p>
              </w:tc>
              <w:tc>
                <w:tcPr>
                  <w:tcW w:w="107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考核频次</w:t>
                  </w:r>
                </w:p>
              </w:tc>
              <w:tc>
                <w:tcPr>
                  <w:tcW w:w="329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完成情况（审核周期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lang w:val="en-US" w:eastAsia="zh-CN"/>
                    </w:rPr>
                    <w:t>2021.06-2021.08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1" w:hRule="atLeast"/>
              </w:trPr>
              <w:tc>
                <w:tcPr>
                  <w:tcW w:w="2966" w:type="dxa"/>
                </w:tcPr>
                <w:p>
                  <w:pPr>
                    <w:spacing w:line="400" w:lineRule="exac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市场监管部门抽检合格率100%</w:t>
                  </w:r>
                </w:p>
              </w:tc>
              <w:tc>
                <w:tcPr>
                  <w:tcW w:w="1072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29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抽检合格次数/抽检次数</w:t>
                  </w:r>
                  <w:r>
                    <w:rPr>
                      <w:rFonts w:hint="eastAsia"/>
                      <w:sz w:val="21"/>
                      <w:szCs w:val="21"/>
                    </w:rPr>
                    <w:t>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lang w:val="en-US" w:eastAsia="zh-CN"/>
                    </w:rPr>
                    <w:t>在实施中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66" w:type="dxa"/>
                </w:tcPr>
                <w:p>
                  <w:pPr>
                    <w:spacing w:line="400" w:lineRule="exac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食品安全投诉率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处理率100%</w:t>
                  </w:r>
                </w:p>
              </w:tc>
              <w:tc>
                <w:tcPr>
                  <w:tcW w:w="107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29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投诉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处理</w:t>
                  </w:r>
                  <w:r>
                    <w:rPr>
                      <w:rFonts w:hint="eastAsia"/>
                      <w:sz w:val="21"/>
                      <w:szCs w:val="21"/>
                    </w:rPr>
                    <w:t>次数/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投诉次数</w:t>
                  </w:r>
                  <w:r>
                    <w:rPr>
                      <w:rFonts w:hint="eastAsia"/>
                      <w:sz w:val="21"/>
                      <w:szCs w:val="21"/>
                    </w:rPr>
                    <w:t>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lang w:val="en-US" w:eastAsia="zh-CN"/>
                    </w:rPr>
                    <w:t>在实施中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66" w:type="dxa"/>
                </w:tcPr>
                <w:p>
                  <w:pPr>
                    <w:spacing w:line="480" w:lineRule="exact"/>
                    <w:rPr>
                      <w:rFonts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食品安全事故为0</w:t>
                  </w:r>
                </w:p>
              </w:tc>
              <w:tc>
                <w:tcPr>
                  <w:tcW w:w="107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29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按照实际发生次数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lang w:val="en-US" w:eastAsia="zh-CN"/>
                    </w:rPr>
                    <w:t>在实施中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6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</w:p>
              </w:tc>
              <w:tc>
                <w:tcPr>
                  <w:tcW w:w="107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</w:p>
              </w:tc>
              <w:tc>
                <w:tcPr>
                  <w:tcW w:w="329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</w:p>
              </w:tc>
            </w:tr>
          </w:tbl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目标在实施中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变更的策划</w:t>
            </w:r>
          </w:p>
          <w:p/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F6.3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手册第6.3章</w:t>
            </w:r>
            <w:r>
              <w:rPr>
                <w:rFonts w:hint="eastAsia"/>
                <w:lang w:eastAsia="zh-CN"/>
              </w:rPr>
              <w:t>、</w:t>
            </w: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体系变更审批表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组织对相关管理体系进行变更时，变更应按所策划的方式实施；审核周期内的重大变更有：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□组织结构变更 □部门职责变更 □主要原材料 □关键人员 □生产工艺/服务流程 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□主要设备设施 □主要检测设备 </w:t>
            </w:r>
            <w:r>
              <w:rPr/>
              <w:sym w:font="Wingdings" w:char="00FE"/>
            </w:r>
            <w:r>
              <w:rPr>
                <w:rFonts w:hint="eastAsia"/>
              </w:rPr>
              <w:t>其他——体系建立以来未发生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6"/>
              <w:gridCol w:w="3632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体系变更的内容说明</w:t>
                  </w:r>
                </w:p>
              </w:tc>
              <w:tc>
                <w:tcPr>
                  <w:tcW w:w="3632" w:type="dxa"/>
                </w:tcPr>
                <w:p/>
              </w:tc>
              <w:tc>
                <w:tcPr>
                  <w:tcW w:w="301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评价内容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评价具体描述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变更目的</w:t>
                  </w:r>
                </w:p>
              </w:tc>
              <w:tc>
                <w:tcPr>
                  <w:tcW w:w="363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其潜在后果</w:t>
                  </w:r>
                </w:p>
              </w:tc>
              <w:tc>
                <w:tcPr>
                  <w:tcW w:w="363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质量管理体系的完整性</w:t>
                  </w:r>
                </w:p>
              </w:tc>
              <w:tc>
                <w:tcPr>
                  <w:tcW w:w="363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资源的可获得性</w:t>
                  </w:r>
                </w:p>
              </w:tc>
              <w:tc>
                <w:tcPr>
                  <w:tcW w:w="363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职责和权限的分配或再分配</w:t>
                  </w:r>
                </w:p>
              </w:tc>
              <w:tc>
                <w:tcPr>
                  <w:tcW w:w="363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</w:tbl>
          <w:p/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vMerge w:val="restart"/>
          </w:tcPr>
          <w:p>
            <w:r>
              <w:rPr>
                <w:rFonts w:hint="eastAsia"/>
              </w:rPr>
              <w:t>资源（总则）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F7.1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管理手册第7.1章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和最高管理层确定并提供所需的资源，以建立、实施、保持和持续改进质量管理体系。 </w:t>
            </w:r>
          </w:p>
          <w:p>
            <w:pPr>
              <w:numPr>
                <w:ilvl w:val="0"/>
                <w:numId w:val="3"/>
              </w:num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现有内部资源的能力；</w:t>
            </w:r>
          </w:p>
          <w:p>
            <w:pPr>
              <w:rPr>
                <w:rFonts w:hint="eastAsia" w:eastAsia="宋体"/>
                <w:highlight w:val="none"/>
                <w:lang w:eastAsia="zh-CN"/>
              </w:rPr>
            </w:pPr>
            <w:bookmarkStart w:id="4" w:name="_GoBack"/>
            <w:r>
              <w:rPr>
                <w:rFonts w:hint="eastAsia"/>
                <w:highlight w:val="none"/>
              </w:rPr>
              <w:t>建筑面积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20亩 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>；</w:t>
            </w:r>
            <w:r>
              <w:rPr>
                <w:rFonts w:hint="eastAsia"/>
                <w:highlight w:val="none"/>
                <w:lang w:val="en-US" w:eastAsia="zh-CN"/>
              </w:rPr>
              <w:t>生产车间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</w:rPr>
              <w:t>个；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检验室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1 </w:t>
            </w:r>
            <w:r>
              <w:rPr>
                <w:rFonts w:hint="eastAsia"/>
                <w:highlight w:val="none"/>
              </w:rPr>
              <w:t>个；</w:t>
            </w:r>
            <w:r>
              <w:rPr>
                <w:rFonts w:hint="eastAsia"/>
                <w:highlight w:val="none"/>
                <w:lang w:val="en-US" w:eastAsia="zh-CN"/>
              </w:rPr>
              <w:t>仓库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/>
                <w:highlight w:val="none"/>
              </w:rPr>
              <w:t>个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</w:p>
          <w:p>
            <w:pPr>
              <w:rPr>
                <w:rFonts w:hint="eastAsia"/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主要设备有：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辊压膜控制柜、破碎机、皮带输送机等</w:t>
            </w:r>
            <w:r>
              <w:rPr>
                <w:rFonts w:hint="eastAsia"/>
                <w:highlight w:val="none"/>
                <w:u w:val="single"/>
              </w:rPr>
              <w:t>（列举2~4种）</w:t>
            </w:r>
          </w:p>
          <w:bookmarkEnd w:id="4"/>
          <w:p>
            <w:pPr>
              <w:pStyle w:val="6"/>
              <w:rPr>
                <w:highlight w:val="yellow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改建/扩建施工现场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其他——不涉及 </w:t>
            </w:r>
          </w:p>
          <w:p/>
          <w:p>
            <w:r>
              <w:rPr>
                <w:rFonts w:hint="eastAsia"/>
              </w:rPr>
              <w:t>特种设备：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不适用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特种设备管理：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进行了定期检验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未进行定期检验的有：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   </w:t>
            </w:r>
          </w:p>
          <w:p>
            <w:pPr>
              <w:numPr>
                <w:ilvl w:val="0"/>
                <w:numId w:val="4"/>
              </w:num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还存在哪些局限和不足：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无                          </w:t>
            </w:r>
          </w:p>
          <w:p>
            <w:pPr>
              <w:numPr>
                <w:ilvl w:val="0"/>
                <w:numId w:val="3"/>
              </w:numPr>
            </w:pPr>
            <w:r>
              <w:rPr>
                <w:rFonts w:hint="eastAsia"/>
                <w:color w:val="000000"/>
                <w:szCs w:val="21"/>
                <w:highlight w:val="none"/>
              </w:rPr>
              <w:t>需要从外部供方获得的资源：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成品运输</w:t>
            </w:r>
            <w:r>
              <w:rPr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人员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F7.1.1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F7.1.2</w:t>
            </w:r>
          </w:p>
          <w:p>
            <w:pPr>
              <w:pStyle w:val="6"/>
            </w:pPr>
          </w:p>
          <w:p>
            <w:pPr>
              <w:rPr>
                <w:color w:val="000000"/>
                <w:szCs w:val="21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手册第7.1.1、7.1.2条款  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人力资源管理程序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b/>
                <w:bCs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2163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和最高管理者了解了组织应确定并配备所需的人员情况。</w:t>
            </w:r>
          </w:p>
          <w:p>
            <w:pPr>
              <w:rPr>
                <w:color w:val="000000"/>
                <w:szCs w:val="21"/>
              </w:rPr>
            </w:pP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1"/>
              <w:gridCol w:w="1292"/>
              <w:gridCol w:w="1292"/>
              <w:gridCol w:w="1292"/>
              <w:gridCol w:w="1292"/>
              <w:gridCol w:w="1292"/>
              <w:gridCol w:w="12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管理人员数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技术人员数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操作人员数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临时工数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季节工数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辅助人员数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总人数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rFonts w:hint="eastAsia" w:eastAsia="宋体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7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12</w:t>
                  </w:r>
                </w:p>
              </w:tc>
            </w:tr>
          </w:tbl>
          <w:p/>
          <w:p>
            <w:r>
              <w:rPr>
                <w:rFonts w:hint="eastAsia"/>
              </w:rPr>
              <w:t>建立、 实施、 运行或评估食品安全管理体系时是否聘用外部专家：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否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FFF00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94"/>
              <w:gridCol w:w="4234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0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最高学历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专科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本科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硕士以上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教育专业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食品相应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食品相关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食品不相关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职称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助理工程师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工程师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高级工程师以上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专业工作经历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 xml:space="preserve">    年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责任和权限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负责建立和保持管理体系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</w:tbl>
          <w:p>
            <w:r>
              <w:rPr>
                <w:rFonts w:hint="eastAsia"/>
              </w:rPr>
              <w:t xml:space="preserve">        </w:t>
            </w:r>
          </w:p>
          <w:p>
            <w:r>
              <w:rPr>
                <w:rFonts w:hint="eastAsia"/>
              </w:rPr>
              <w:t>保留了外部专家的协议或合同。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 （不涉及）</w:t>
            </w:r>
          </w:p>
          <w:p>
            <w:r>
              <w:rPr>
                <w:rFonts w:hint="eastAsia"/>
              </w:rPr>
              <w:t xml:space="preserve">    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3" w:type="dxa"/>
            <w:vMerge w:val="restart"/>
          </w:tcPr>
          <w:p>
            <w:r>
              <w:rPr>
                <w:rFonts w:hint="eastAsia"/>
              </w:rPr>
              <w:t>监视、测量、分析和评价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F9.1.1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管理手册9.1.1条款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3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组织对监视和测量的食品安全绩效：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3"/>
              <w:gridCol w:w="2368"/>
              <w:gridCol w:w="1955"/>
              <w:gridCol w:w="1809"/>
              <w:gridCol w:w="17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监视和测量的对象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监视、测量、分析和评价的方法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监视和测量的频次和时机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评价其食品安全绩效所依据的准则和适当的参数</w:t>
                  </w:r>
                </w:p>
              </w:tc>
              <w:tc>
                <w:tcPr>
                  <w:tcW w:w="173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分析和评价的频次和时机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产品和生产用水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委托外部定期进行检测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rFonts w:hint="default"/>
                      <w:szCs w:val="21"/>
                      <w:lang w:val="en-US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产品：每年委托外部进行；生产用水：每月索取自来水厂监测报告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产品标准GB5749-2006</w:t>
                  </w:r>
                </w:p>
              </w:tc>
              <w:tc>
                <w:tcPr>
                  <w:tcW w:w="1738" w:type="dxa"/>
                </w:tcPr>
                <w:p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 w:val="15"/>
                      <w:szCs w:val="15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hint="eastAsia" w:ascii="Segoe UI Emoji" w:hAnsi="Segoe UI Emoji" w:cs="Segoe UI Emoji"/>
                      <w:color w:val="000000"/>
                      <w:sz w:val="15"/>
                      <w:szCs w:val="15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过程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现场巡视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抽查记录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对目标、供方业绩、过程业绩、满意度进行统计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定期检查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抽查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相关标准、程序文件要求等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hint="eastAsia" w:ascii="Segoe UI Emoji" w:hAnsi="Segoe UI Emoji" w:cs="Segoe UI Emoji"/>
                      <w:color w:val="000000"/>
                      <w:sz w:val="15"/>
                      <w:szCs w:val="15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体系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内部审核；对内审不符合项进行分析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按年度内审计划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特殊情况增加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ISO22000：2018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《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内部审核控制程序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》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体系有效性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管理评审，对FSMS存在的需要问题进行分析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特殊情况增加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 w:eastAsia="宋体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Cs w:val="21"/>
                    </w:rPr>
                    <w:t>ISO22000：2018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《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管理评审控制程序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》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相关方反馈</w:t>
                  </w:r>
                </w:p>
              </w:tc>
              <w:tc>
                <w:tcPr>
                  <w:tcW w:w="236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反馈处理，对问题进行统计</w:t>
                  </w:r>
                </w:p>
              </w:tc>
              <w:tc>
                <w:tcPr>
                  <w:tcW w:w="195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按企业程序文件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</w:tbl>
          <w:p/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63" w:type="dxa"/>
            <w:vMerge w:val="restart"/>
          </w:tcPr>
          <w:p>
            <w:r>
              <w:rPr>
                <w:rFonts w:hint="eastAsia"/>
              </w:rPr>
              <w:t>管理评审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F9.3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《管理评审控制程序》 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63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</w:t>
            </w: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9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20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21"/>
              </w:rPr>
              <w:t xml:space="preserve">☑管理评审计划  ☑管理评审记录（工作总结）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管理评审纪要  ☑管理评审报告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58"/>
              <w:gridCol w:w="1869"/>
              <w:gridCol w:w="28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管理评审输入信息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评价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问题描述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以往管理评审所采取措施的情况；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  <w:color w:val="000000"/>
                      <w:szCs w:val="21"/>
                    </w:rPr>
                    <w:t>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体系建立以来首次进行管理评审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color w:val="000000"/>
                      <w:szCs w:val="21"/>
                    </w:rPr>
                    <w:t>组织所处形势的变化</w:t>
                  </w:r>
                  <w:r>
                    <w:rPr>
                      <w:rFonts w:hint="eastAsia"/>
                    </w:rPr>
                    <w:t>；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发生的紧急情况、事故或撤回；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与食品安全管理体系有关的内部和外部因素变化，包括顾客和顾客投诉；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食品安全绩效和食品安全管理体系不符合和纠正措施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监视和测量结果及趋势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审核结果（内部和外部） 包括执法检查结果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与PRP、 OPRP计划和HACCP计划有关的验证活动结果的分析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实现食品安全管理体系目标的程度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外部供方绩效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体系更新活动的评审结果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顾客反馈的沟通活动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紧急情况、 事故或撤回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持续改进的机会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资源的充分性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为应对风险和机遇所采取措施的有效性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</w:tbl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pStyle w:val="2"/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highlight w:val="cyan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对食品安全管理体系的持续适宜性，充分性，有效性的结论。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满足</w:t>
            </w:r>
            <w:r>
              <w:rPr>
                <w:rFonts w:hint="eastAsia"/>
                <w:color w:val="000000"/>
                <w:szCs w:val="21"/>
              </w:rPr>
              <w:t xml:space="preserve"> □</w:t>
            </w:r>
            <w:r>
              <w:rPr>
                <w:rFonts w:hint="eastAsia"/>
              </w:rPr>
              <w:t>不满足，说明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52"/>
              <w:gridCol w:w="3695"/>
              <w:gridCol w:w="24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管理评审输出信息（决策）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措施描述（举例）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改进措施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与持续改进机会相关的决策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jc w:val="left"/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  <w:t>针对体系内审员进行培训，</w:t>
                  </w: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提高内审员对</w:t>
                  </w:r>
                  <w:r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  <w:t>审核技术的掌握</w:t>
                  </w: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程度，更好的完成内审工作</w:t>
                  </w:r>
                  <w:r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  <w:t>——</w:t>
                  </w: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  <w:t>月底前完成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食品安全管理体系所需的变更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资源需求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食品安全目标未实现所采取的措施。（需要时）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改进食品安全管理体系与其他业务过程融合的机会。（需要时）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任何与组织战略方向相关的结论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</w:tbl>
          <w:p>
            <w:pPr>
              <w:rPr>
                <w:highlight w:val="cyan"/>
              </w:rPr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改进措施未落实的原因：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计划2021年10月底前完成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3" w:type="dxa"/>
            <w:vMerge w:val="restart"/>
          </w:tcPr>
          <w:p>
            <w:r>
              <w:rPr>
                <w:rFonts w:hint="eastAsia"/>
              </w:rPr>
              <w:t>持续改进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F10.2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管理手册10.2条款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163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 xml:space="preserve">组织已持续改进食品安全管理体系的适宜性、充分性和有效性，以提升食品安全绩效。 </w:t>
            </w:r>
          </w:p>
          <w:p>
            <w:r>
              <w:rPr>
                <w:rFonts w:hint="eastAsia"/>
              </w:rPr>
              <w:t>组织考虑了分析和评价的结果以及管理评审的输出，确定是否存在需求或机遇，这些需求或机遇应作为持续改进的一部分加以应对。</w:t>
            </w:r>
          </w:p>
          <w:p>
            <w:pPr>
              <w:pStyle w:val="6"/>
            </w:pP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改进措施已落实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改进措施未落实的原因：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  <w:lang w:val="en-US" w:eastAsia="zh-CN"/>
              </w:rPr>
              <w:t>计划10月底前完成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>
            <w:r>
              <w:rPr>
                <w:rFonts w:hint="eastAsia"/>
              </w:rPr>
              <w:t>最高管理者应确保组织通过以下活动， 持续改进食品安全管理体系的有效性：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沟通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管理评审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内部审核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验证活动结果分析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控制措施验证和控制措施组合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纠正措施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FSMS更新 。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3" w:type="dxa"/>
            <w:vMerge w:val="restart"/>
          </w:tcPr>
          <w:p>
            <w:r>
              <w:rPr>
                <w:rFonts w:hint="eastAsia"/>
              </w:rPr>
              <w:t>食品安全管理体系的更新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F10.3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管理手册10.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条款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63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u w:val="single"/>
              </w:rPr>
            </w:pPr>
            <w:r>
              <w:t>最高管理者确保FSMS持续更新。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否，说明；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>
            <w:r>
              <w:t>食品安全小组应按计划间隔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每年、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每月、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不定期）</w:t>
            </w:r>
            <w:r>
              <w:t>对食品安全管理体系进行评估。小组应考虑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t>有必要审查危害分析</w:t>
            </w:r>
          </w:p>
          <w:p>
            <w:r>
              <w:rPr>
                <w:rFonts w:hint="eastAsia"/>
              </w:rPr>
              <w:sym w:font="Wingdings" w:char="00FE"/>
            </w:r>
            <w:r>
              <w:t>已建立的危害控制计划</w:t>
            </w:r>
          </w:p>
          <w:p>
            <w:r>
              <w:rPr>
                <w:rFonts w:hint="eastAsia"/>
              </w:rPr>
              <w:sym w:font="Wingdings" w:char="00FE"/>
            </w:r>
            <w:r>
              <w:t>已建立的PRP。</w:t>
            </w:r>
          </w:p>
          <w:p>
            <w:r>
              <w:t>更新活动应基于：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来自外部和内部通信的输入；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其他有关食品安全管理系统的适宜性、充分性和有效性的信息的输入；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验证活动结果分析的输出；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管理评审的输出。</w:t>
            </w:r>
          </w:p>
          <w:p>
            <w:r>
              <w:t>系统更新活动</w:t>
            </w:r>
            <w:r>
              <w:rPr>
                <w:rFonts w:hint="eastAsia"/>
              </w:rPr>
              <w:t>保留的</w:t>
            </w:r>
            <w:r>
              <w:t>文件化信息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  <w:u w:val="single"/>
              </w:rPr>
              <w:t xml:space="preserve">：        </w:t>
            </w:r>
            <w:r>
              <w:rPr>
                <w:rFonts w:hint="eastAsia"/>
              </w:rPr>
              <w:t xml:space="preserve"> </w:t>
            </w:r>
            <w:r>
              <w:t>，作为输入报告给管理评审。</w:t>
            </w:r>
          </w:p>
          <w:p/>
        </w:tc>
        <w:tc>
          <w:tcPr>
            <w:tcW w:w="1591" w:type="dxa"/>
            <w:vMerge w:val="continue"/>
          </w:tcPr>
          <w:p/>
        </w:tc>
      </w:tr>
    </w:tbl>
    <w:p/>
    <w:p>
      <w:pPr>
        <w:pStyle w:val="2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IDFont+F5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83C7BF"/>
    <w:multiLevelType w:val="singleLevel"/>
    <w:tmpl w:val="8983C7B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9157FF7"/>
    <w:multiLevelType w:val="singleLevel"/>
    <w:tmpl w:val="D9157FF7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19E194F9"/>
    <w:multiLevelType w:val="singleLevel"/>
    <w:tmpl w:val="19E194F9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3">
    <w:nsid w:val="642B7DFC"/>
    <w:multiLevelType w:val="singleLevel"/>
    <w:tmpl w:val="642B7DF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377F"/>
    <w:rsid w:val="000237F6"/>
    <w:rsid w:val="0003373A"/>
    <w:rsid w:val="000400E2"/>
    <w:rsid w:val="00053043"/>
    <w:rsid w:val="00062E46"/>
    <w:rsid w:val="00077C57"/>
    <w:rsid w:val="000E6B21"/>
    <w:rsid w:val="000E7D69"/>
    <w:rsid w:val="001037D1"/>
    <w:rsid w:val="00111EBB"/>
    <w:rsid w:val="001140D6"/>
    <w:rsid w:val="00126B2A"/>
    <w:rsid w:val="001301E2"/>
    <w:rsid w:val="001A2D7F"/>
    <w:rsid w:val="001A336D"/>
    <w:rsid w:val="001F1502"/>
    <w:rsid w:val="00203518"/>
    <w:rsid w:val="0023692C"/>
    <w:rsid w:val="002805E0"/>
    <w:rsid w:val="002822F1"/>
    <w:rsid w:val="002939AD"/>
    <w:rsid w:val="002A7D96"/>
    <w:rsid w:val="002E061E"/>
    <w:rsid w:val="002E5925"/>
    <w:rsid w:val="00304BD2"/>
    <w:rsid w:val="00314AF6"/>
    <w:rsid w:val="003263CD"/>
    <w:rsid w:val="00332DD3"/>
    <w:rsid w:val="00334BC0"/>
    <w:rsid w:val="003359ED"/>
    <w:rsid w:val="00337922"/>
    <w:rsid w:val="00340867"/>
    <w:rsid w:val="00380837"/>
    <w:rsid w:val="003A198A"/>
    <w:rsid w:val="00410914"/>
    <w:rsid w:val="0042042C"/>
    <w:rsid w:val="00454842"/>
    <w:rsid w:val="00477A20"/>
    <w:rsid w:val="0048201E"/>
    <w:rsid w:val="0048635A"/>
    <w:rsid w:val="0049215F"/>
    <w:rsid w:val="004B2B8D"/>
    <w:rsid w:val="004D161C"/>
    <w:rsid w:val="004E753A"/>
    <w:rsid w:val="005203B8"/>
    <w:rsid w:val="00531A59"/>
    <w:rsid w:val="00536930"/>
    <w:rsid w:val="00542263"/>
    <w:rsid w:val="00564E53"/>
    <w:rsid w:val="00571451"/>
    <w:rsid w:val="00593F84"/>
    <w:rsid w:val="005B7968"/>
    <w:rsid w:val="005C6B53"/>
    <w:rsid w:val="005D5659"/>
    <w:rsid w:val="005E2DC1"/>
    <w:rsid w:val="005F0777"/>
    <w:rsid w:val="00600C20"/>
    <w:rsid w:val="00644FE2"/>
    <w:rsid w:val="00651ED1"/>
    <w:rsid w:val="00660E47"/>
    <w:rsid w:val="00663F71"/>
    <w:rsid w:val="0067640C"/>
    <w:rsid w:val="00691D92"/>
    <w:rsid w:val="006D7C48"/>
    <w:rsid w:val="006E678B"/>
    <w:rsid w:val="006E7B1D"/>
    <w:rsid w:val="0070341D"/>
    <w:rsid w:val="00705D46"/>
    <w:rsid w:val="00714E0C"/>
    <w:rsid w:val="007757F3"/>
    <w:rsid w:val="00782A29"/>
    <w:rsid w:val="007860F5"/>
    <w:rsid w:val="007C1B48"/>
    <w:rsid w:val="007E3B15"/>
    <w:rsid w:val="007E6AEB"/>
    <w:rsid w:val="008630EE"/>
    <w:rsid w:val="008973EE"/>
    <w:rsid w:val="008C05BC"/>
    <w:rsid w:val="008C60FD"/>
    <w:rsid w:val="008E670C"/>
    <w:rsid w:val="0090032F"/>
    <w:rsid w:val="00910EB7"/>
    <w:rsid w:val="00920906"/>
    <w:rsid w:val="00923731"/>
    <w:rsid w:val="009315A7"/>
    <w:rsid w:val="009344FA"/>
    <w:rsid w:val="009637A6"/>
    <w:rsid w:val="00971600"/>
    <w:rsid w:val="009734AB"/>
    <w:rsid w:val="0097671F"/>
    <w:rsid w:val="009973B4"/>
    <w:rsid w:val="009C28C1"/>
    <w:rsid w:val="009D0D15"/>
    <w:rsid w:val="009E7642"/>
    <w:rsid w:val="009F7EED"/>
    <w:rsid w:val="00A01D85"/>
    <w:rsid w:val="00A109EE"/>
    <w:rsid w:val="00A23E2B"/>
    <w:rsid w:val="00A353D5"/>
    <w:rsid w:val="00A74916"/>
    <w:rsid w:val="00A80636"/>
    <w:rsid w:val="00A80E58"/>
    <w:rsid w:val="00AA4BB0"/>
    <w:rsid w:val="00AB1C1D"/>
    <w:rsid w:val="00AC2E27"/>
    <w:rsid w:val="00AC589C"/>
    <w:rsid w:val="00AF0AAB"/>
    <w:rsid w:val="00B50FD7"/>
    <w:rsid w:val="00B646E3"/>
    <w:rsid w:val="00B64A32"/>
    <w:rsid w:val="00B801A2"/>
    <w:rsid w:val="00B82D4A"/>
    <w:rsid w:val="00B93797"/>
    <w:rsid w:val="00BA5DC8"/>
    <w:rsid w:val="00BB07DF"/>
    <w:rsid w:val="00BB34A7"/>
    <w:rsid w:val="00BE5F33"/>
    <w:rsid w:val="00BF597E"/>
    <w:rsid w:val="00C03A49"/>
    <w:rsid w:val="00C37C31"/>
    <w:rsid w:val="00C51A36"/>
    <w:rsid w:val="00C55228"/>
    <w:rsid w:val="00C5533A"/>
    <w:rsid w:val="00C63768"/>
    <w:rsid w:val="00C65F2B"/>
    <w:rsid w:val="00C96ED9"/>
    <w:rsid w:val="00CD71D8"/>
    <w:rsid w:val="00CE2E76"/>
    <w:rsid w:val="00CE315A"/>
    <w:rsid w:val="00CF1517"/>
    <w:rsid w:val="00D06F59"/>
    <w:rsid w:val="00D708B1"/>
    <w:rsid w:val="00D71355"/>
    <w:rsid w:val="00D75176"/>
    <w:rsid w:val="00D8388C"/>
    <w:rsid w:val="00DC055B"/>
    <w:rsid w:val="00DD3530"/>
    <w:rsid w:val="00DE720A"/>
    <w:rsid w:val="00E120F4"/>
    <w:rsid w:val="00E25E5F"/>
    <w:rsid w:val="00E6224C"/>
    <w:rsid w:val="00E65C8F"/>
    <w:rsid w:val="00EB0164"/>
    <w:rsid w:val="00EB2D1A"/>
    <w:rsid w:val="00EC57BB"/>
    <w:rsid w:val="00EC66B3"/>
    <w:rsid w:val="00ED0F62"/>
    <w:rsid w:val="00F2198C"/>
    <w:rsid w:val="00F43A54"/>
    <w:rsid w:val="00F441AF"/>
    <w:rsid w:val="00F56D22"/>
    <w:rsid w:val="00F7499A"/>
    <w:rsid w:val="00F95ED9"/>
    <w:rsid w:val="00FD0A8E"/>
    <w:rsid w:val="00FF6820"/>
    <w:rsid w:val="01260C71"/>
    <w:rsid w:val="01E27364"/>
    <w:rsid w:val="02C75A20"/>
    <w:rsid w:val="032F5195"/>
    <w:rsid w:val="034F668F"/>
    <w:rsid w:val="03A0688A"/>
    <w:rsid w:val="03A32F8E"/>
    <w:rsid w:val="03AC3D8E"/>
    <w:rsid w:val="03CE483E"/>
    <w:rsid w:val="03CF54E8"/>
    <w:rsid w:val="0405614C"/>
    <w:rsid w:val="04883DB3"/>
    <w:rsid w:val="049166B1"/>
    <w:rsid w:val="04981EC9"/>
    <w:rsid w:val="050D3D1E"/>
    <w:rsid w:val="056577F0"/>
    <w:rsid w:val="05705C5F"/>
    <w:rsid w:val="057753FF"/>
    <w:rsid w:val="05A05014"/>
    <w:rsid w:val="05F6270F"/>
    <w:rsid w:val="05FE5D86"/>
    <w:rsid w:val="0605101B"/>
    <w:rsid w:val="061B4460"/>
    <w:rsid w:val="065A01DF"/>
    <w:rsid w:val="067B702D"/>
    <w:rsid w:val="06994A8D"/>
    <w:rsid w:val="06AA7E97"/>
    <w:rsid w:val="06ED612A"/>
    <w:rsid w:val="08274F37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CFF24B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EB1156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9D4370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5C64A64"/>
    <w:rsid w:val="15F7492E"/>
    <w:rsid w:val="16210B83"/>
    <w:rsid w:val="16583F2B"/>
    <w:rsid w:val="169D3E09"/>
    <w:rsid w:val="16AB3CAD"/>
    <w:rsid w:val="16E341B9"/>
    <w:rsid w:val="16F10A78"/>
    <w:rsid w:val="17226BDD"/>
    <w:rsid w:val="17446813"/>
    <w:rsid w:val="175B7C8D"/>
    <w:rsid w:val="177551EA"/>
    <w:rsid w:val="179B1D36"/>
    <w:rsid w:val="17AA51C2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8948AE"/>
    <w:rsid w:val="1AAF33A8"/>
    <w:rsid w:val="1AB42370"/>
    <w:rsid w:val="1ACD09C2"/>
    <w:rsid w:val="1ACF1254"/>
    <w:rsid w:val="1AED5B63"/>
    <w:rsid w:val="1B462375"/>
    <w:rsid w:val="1B5E3B97"/>
    <w:rsid w:val="1BC5069A"/>
    <w:rsid w:val="1C392A3A"/>
    <w:rsid w:val="1C6465C0"/>
    <w:rsid w:val="1CB1322F"/>
    <w:rsid w:val="1D0723A1"/>
    <w:rsid w:val="1D3F332D"/>
    <w:rsid w:val="1D4D4A00"/>
    <w:rsid w:val="1DC4038A"/>
    <w:rsid w:val="1DF36090"/>
    <w:rsid w:val="1DFE25B1"/>
    <w:rsid w:val="1E511FFA"/>
    <w:rsid w:val="1E752FA2"/>
    <w:rsid w:val="1E993682"/>
    <w:rsid w:val="1EF77273"/>
    <w:rsid w:val="1F1B65D5"/>
    <w:rsid w:val="1F35289F"/>
    <w:rsid w:val="1F4E73A5"/>
    <w:rsid w:val="1F8E0A45"/>
    <w:rsid w:val="1FA3408F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5B68EA"/>
    <w:rsid w:val="226B2F60"/>
    <w:rsid w:val="22813299"/>
    <w:rsid w:val="23461CA8"/>
    <w:rsid w:val="238A1BAA"/>
    <w:rsid w:val="23900E62"/>
    <w:rsid w:val="23996C88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5B02BA9"/>
    <w:rsid w:val="261B55F8"/>
    <w:rsid w:val="261D5675"/>
    <w:rsid w:val="269C7CAD"/>
    <w:rsid w:val="2711413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434791"/>
    <w:rsid w:val="296D2D47"/>
    <w:rsid w:val="29CB46C2"/>
    <w:rsid w:val="29DF72FA"/>
    <w:rsid w:val="29F77BA5"/>
    <w:rsid w:val="2A3A6E77"/>
    <w:rsid w:val="2A85024C"/>
    <w:rsid w:val="2B0D2F04"/>
    <w:rsid w:val="2B1D2572"/>
    <w:rsid w:val="2B206A2D"/>
    <w:rsid w:val="2B4C1179"/>
    <w:rsid w:val="2BAC5760"/>
    <w:rsid w:val="2BD60481"/>
    <w:rsid w:val="2BEA3FA7"/>
    <w:rsid w:val="2C2E44D4"/>
    <w:rsid w:val="2C3E7250"/>
    <w:rsid w:val="2C7B6C71"/>
    <w:rsid w:val="2D357F0D"/>
    <w:rsid w:val="2D4E604F"/>
    <w:rsid w:val="2D5C2AB0"/>
    <w:rsid w:val="2D7A20E6"/>
    <w:rsid w:val="2DC57805"/>
    <w:rsid w:val="2DC801AD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09556D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25251B2"/>
    <w:rsid w:val="328817F8"/>
    <w:rsid w:val="32A772DD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977CFC"/>
    <w:rsid w:val="35D721CD"/>
    <w:rsid w:val="36174333"/>
    <w:rsid w:val="364A3F09"/>
    <w:rsid w:val="366E2A0B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9E04D90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DF2719F"/>
    <w:rsid w:val="3E342793"/>
    <w:rsid w:val="3E3C5235"/>
    <w:rsid w:val="3EA34B57"/>
    <w:rsid w:val="3EEF1E6E"/>
    <w:rsid w:val="3F654598"/>
    <w:rsid w:val="3F701801"/>
    <w:rsid w:val="40075616"/>
    <w:rsid w:val="40571F31"/>
    <w:rsid w:val="40760623"/>
    <w:rsid w:val="40771A54"/>
    <w:rsid w:val="408B7234"/>
    <w:rsid w:val="40E27AF7"/>
    <w:rsid w:val="40F80D82"/>
    <w:rsid w:val="41342A6B"/>
    <w:rsid w:val="414C7183"/>
    <w:rsid w:val="418D501C"/>
    <w:rsid w:val="41E9167B"/>
    <w:rsid w:val="42271497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413E1D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8397913"/>
    <w:rsid w:val="4949229C"/>
    <w:rsid w:val="49834851"/>
    <w:rsid w:val="49C0281D"/>
    <w:rsid w:val="49E449BF"/>
    <w:rsid w:val="49EC77B8"/>
    <w:rsid w:val="49ED5B1C"/>
    <w:rsid w:val="4AD45EF1"/>
    <w:rsid w:val="4ADD13CB"/>
    <w:rsid w:val="4AE04A18"/>
    <w:rsid w:val="4B337454"/>
    <w:rsid w:val="4B407CC6"/>
    <w:rsid w:val="4B42232B"/>
    <w:rsid w:val="4B464DA1"/>
    <w:rsid w:val="4B825A76"/>
    <w:rsid w:val="4B8B3702"/>
    <w:rsid w:val="4B9B0D7E"/>
    <w:rsid w:val="4BC83B65"/>
    <w:rsid w:val="4C1A1162"/>
    <w:rsid w:val="4C85389F"/>
    <w:rsid w:val="4CA74E41"/>
    <w:rsid w:val="4CA91B51"/>
    <w:rsid w:val="4CB62537"/>
    <w:rsid w:val="4CD2365B"/>
    <w:rsid w:val="4D352804"/>
    <w:rsid w:val="4D3D578E"/>
    <w:rsid w:val="4D636299"/>
    <w:rsid w:val="4D791805"/>
    <w:rsid w:val="4D8F2F88"/>
    <w:rsid w:val="4DB86BCB"/>
    <w:rsid w:val="4DD85058"/>
    <w:rsid w:val="4E0166A9"/>
    <w:rsid w:val="4E1551DB"/>
    <w:rsid w:val="4E7774D0"/>
    <w:rsid w:val="4F256EAD"/>
    <w:rsid w:val="4F594843"/>
    <w:rsid w:val="50172AB6"/>
    <w:rsid w:val="50286CDF"/>
    <w:rsid w:val="503C3BCC"/>
    <w:rsid w:val="505C4971"/>
    <w:rsid w:val="506169FB"/>
    <w:rsid w:val="50C41CF1"/>
    <w:rsid w:val="50CC64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DF3F44"/>
    <w:rsid w:val="52F263D6"/>
    <w:rsid w:val="53024EB7"/>
    <w:rsid w:val="53261795"/>
    <w:rsid w:val="53953BE7"/>
    <w:rsid w:val="53E93AEB"/>
    <w:rsid w:val="53F51637"/>
    <w:rsid w:val="54124FEF"/>
    <w:rsid w:val="541C4B67"/>
    <w:rsid w:val="552A2893"/>
    <w:rsid w:val="556B045B"/>
    <w:rsid w:val="557D4E77"/>
    <w:rsid w:val="55C375DD"/>
    <w:rsid w:val="56156439"/>
    <w:rsid w:val="56283162"/>
    <w:rsid w:val="56643532"/>
    <w:rsid w:val="568B5A7B"/>
    <w:rsid w:val="56EF4D06"/>
    <w:rsid w:val="570A6E63"/>
    <w:rsid w:val="573B0118"/>
    <w:rsid w:val="573D2268"/>
    <w:rsid w:val="57411925"/>
    <w:rsid w:val="57441E32"/>
    <w:rsid w:val="57535542"/>
    <w:rsid w:val="575B3098"/>
    <w:rsid w:val="577F2D1A"/>
    <w:rsid w:val="57F55B90"/>
    <w:rsid w:val="580F191D"/>
    <w:rsid w:val="58276F84"/>
    <w:rsid w:val="58584813"/>
    <w:rsid w:val="58884147"/>
    <w:rsid w:val="58B728A2"/>
    <w:rsid w:val="58B868EB"/>
    <w:rsid w:val="590D059A"/>
    <w:rsid w:val="592802C2"/>
    <w:rsid w:val="5978735A"/>
    <w:rsid w:val="59A13904"/>
    <w:rsid w:val="59D37462"/>
    <w:rsid w:val="59E42114"/>
    <w:rsid w:val="59E710C8"/>
    <w:rsid w:val="59F34F80"/>
    <w:rsid w:val="5A1C59A1"/>
    <w:rsid w:val="5A386EB4"/>
    <w:rsid w:val="5A407674"/>
    <w:rsid w:val="5A432974"/>
    <w:rsid w:val="5A6A20C5"/>
    <w:rsid w:val="5AD64AF2"/>
    <w:rsid w:val="5AF23288"/>
    <w:rsid w:val="5B544EB3"/>
    <w:rsid w:val="5B6A33DD"/>
    <w:rsid w:val="5BBF36FA"/>
    <w:rsid w:val="5BF04FFA"/>
    <w:rsid w:val="5C045A62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0754B6"/>
    <w:rsid w:val="6018182B"/>
    <w:rsid w:val="601E0F43"/>
    <w:rsid w:val="60596F8D"/>
    <w:rsid w:val="608075E1"/>
    <w:rsid w:val="61326FB1"/>
    <w:rsid w:val="61384C31"/>
    <w:rsid w:val="61E77A7E"/>
    <w:rsid w:val="61F16F63"/>
    <w:rsid w:val="622A4138"/>
    <w:rsid w:val="62385483"/>
    <w:rsid w:val="62385A6C"/>
    <w:rsid w:val="626F54FE"/>
    <w:rsid w:val="62876D77"/>
    <w:rsid w:val="62CA4AF4"/>
    <w:rsid w:val="62E4371E"/>
    <w:rsid w:val="632045D1"/>
    <w:rsid w:val="6342544F"/>
    <w:rsid w:val="63454A1C"/>
    <w:rsid w:val="63720424"/>
    <w:rsid w:val="63A31ABC"/>
    <w:rsid w:val="63C65078"/>
    <w:rsid w:val="63EA156F"/>
    <w:rsid w:val="63EA6D88"/>
    <w:rsid w:val="64621F9C"/>
    <w:rsid w:val="64A537DD"/>
    <w:rsid w:val="64B45425"/>
    <w:rsid w:val="64B96E85"/>
    <w:rsid w:val="64BB6795"/>
    <w:rsid w:val="64D069A0"/>
    <w:rsid w:val="64F27E75"/>
    <w:rsid w:val="65067C78"/>
    <w:rsid w:val="65155A1F"/>
    <w:rsid w:val="653C2C5E"/>
    <w:rsid w:val="65662197"/>
    <w:rsid w:val="656B5D01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27495B"/>
    <w:rsid w:val="6844529D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910AA0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792112"/>
    <w:rsid w:val="6D9B1357"/>
    <w:rsid w:val="6E641038"/>
    <w:rsid w:val="6E9C4046"/>
    <w:rsid w:val="6EBD0EA6"/>
    <w:rsid w:val="6F435405"/>
    <w:rsid w:val="6F4810D8"/>
    <w:rsid w:val="6F6D2BAA"/>
    <w:rsid w:val="6F8F1120"/>
    <w:rsid w:val="6F9A4A47"/>
    <w:rsid w:val="6FD909A9"/>
    <w:rsid w:val="701710D0"/>
    <w:rsid w:val="70607590"/>
    <w:rsid w:val="70795456"/>
    <w:rsid w:val="709946EC"/>
    <w:rsid w:val="72702455"/>
    <w:rsid w:val="728F2E47"/>
    <w:rsid w:val="72973011"/>
    <w:rsid w:val="72E42D1B"/>
    <w:rsid w:val="731254DC"/>
    <w:rsid w:val="73381E5F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5EC38CD"/>
    <w:rsid w:val="76174057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38460C"/>
    <w:rsid w:val="79826449"/>
    <w:rsid w:val="79D339B9"/>
    <w:rsid w:val="7A1430B6"/>
    <w:rsid w:val="7A200C95"/>
    <w:rsid w:val="7A594332"/>
    <w:rsid w:val="7A8564DB"/>
    <w:rsid w:val="7AB3096A"/>
    <w:rsid w:val="7AC22B97"/>
    <w:rsid w:val="7ACB083F"/>
    <w:rsid w:val="7B1F77A4"/>
    <w:rsid w:val="7B292799"/>
    <w:rsid w:val="7B593EC6"/>
    <w:rsid w:val="7BEE23EC"/>
    <w:rsid w:val="7C090682"/>
    <w:rsid w:val="7C4E6027"/>
    <w:rsid w:val="7C6A6CA8"/>
    <w:rsid w:val="7CC41AB2"/>
    <w:rsid w:val="7CF04E00"/>
    <w:rsid w:val="7D0B04E5"/>
    <w:rsid w:val="7D41026F"/>
    <w:rsid w:val="7D59343F"/>
    <w:rsid w:val="7E0A78B3"/>
    <w:rsid w:val="7E2912F3"/>
    <w:rsid w:val="7F9026D0"/>
    <w:rsid w:val="7F984417"/>
    <w:rsid w:val="7FD91DE8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1372</Words>
  <Characters>7824</Characters>
  <Lines>65</Lines>
  <Paragraphs>18</Paragraphs>
  <TotalTime>0</TotalTime>
  <ScaleCrop>false</ScaleCrop>
  <LinksUpToDate>false</LinksUpToDate>
  <CharactersWithSpaces>9178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2021-10-15T07:27:14Z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FD80CA7ECCCE4F4FBA9F42EC26D52546</vt:lpwstr>
  </property>
</Properties>
</file>