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河北七宇电力工程有限公司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刘振卿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吉洁、周文廷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2" w:name="审核日期"/>
            <w:r>
              <w:rPr>
                <w:rFonts w:hint="eastAsia"/>
                <w:b/>
                <w:sz w:val="21"/>
                <w:szCs w:val="21"/>
              </w:rPr>
              <w:t>2021年11月03日 下午至2021年11月04日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■原件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</w:t>
            </w:r>
            <w:r>
              <w:rPr>
                <w:color w:val="000000"/>
                <w:szCs w:val="21"/>
                <w:u w:val="single"/>
              </w:rPr>
              <w:t>1130982MA0E3QE22H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2019.9.20-2069.9.19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生产销售：电力金具、水泥制品、五金产品、安全工器具、通信设备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</w:p>
          <w:p>
            <w:pPr>
              <w:rPr>
                <w:szCs w:val="21"/>
              </w:rPr>
            </w:pPr>
            <w:r>
              <w:rPr>
                <w:szCs w:val="21"/>
              </w:rPr>
              <w:t>Q：铁附件和电力金具的生产</w:t>
            </w:r>
          </w:p>
          <w:p>
            <w:pPr>
              <w:spacing w:after="0" w:line="240" w:lineRule="auto"/>
              <w:rPr>
                <w:szCs w:val="21"/>
              </w:rPr>
            </w:pPr>
            <w:r>
              <w:rPr>
                <w:szCs w:val="21"/>
              </w:rPr>
              <w:t>E：铁附件和电力金具的生产所涉及场所的相关环境管理活动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szCs w:val="21"/>
              </w:rPr>
              <w:t>O：铁附件和电力金具的生产所涉及场所的相关职业健康安全管理活动</w:t>
            </w:r>
            <w:bookmarkEnd w:id="3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4" w:name="注册地址"/>
            <w:r>
              <w:rPr>
                <w:szCs w:val="21"/>
                <w:u w:val="single"/>
              </w:rPr>
              <w:t>任丘市经济技术开发区紫金道东侧，金华路北侧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Cs w:val="21"/>
                <w:u w:val="single"/>
              </w:rPr>
              <w:t>任丘市经济技术开发区紫金道东侧，金华路北侧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生产/服务流程：</w:t>
            </w:r>
          </w:p>
          <w:p>
            <w:pPr>
              <w:pStyle w:val="14"/>
              <w:ind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电力金具和铁附件的生产工艺流程图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下料—机加工—镀锌—焊接（必要时）—装配—成品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25 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6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19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2021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5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1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 xml:space="preserve">2021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4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25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镀锌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产品运输</w:t>
            </w:r>
            <w:r>
              <w:rPr>
                <w:rFonts w:hint="eastAsia"/>
                <w:color w:val="000000"/>
                <w:u w:val="single"/>
              </w:rPr>
              <w:t xml:space="preserve">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1"/>
              <w:gridCol w:w="1134"/>
              <w:gridCol w:w="3543"/>
              <w:gridCol w:w="21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考核频次</w:t>
                  </w: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计算方法</w:t>
                  </w:r>
                </w:p>
              </w:tc>
              <w:tc>
                <w:tcPr>
                  <w:tcW w:w="21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黑体"/>
                      <w:bCs/>
                      <w:kern w:val="0"/>
                      <w:sz w:val="21"/>
                      <w:szCs w:val="21"/>
                    </w:rPr>
                    <w:t>产品交付一次合格率≥</w:t>
                  </w:r>
                  <w:r>
                    <w:rPr>
                      <w:rFonts w:ascii="宋体" w:hAnsi="宋体" w:cs="黑体"/>
                      <w:bCs/>
                      <w:kern w:val="0"/>
                      <w:sz w:val="21"/>
                      <w:szCs w:val="21"/>
                    </w:rPr>
                    <w:t>9</w:t>
                  </w:r>
                  <w:r>
                    <w:rPr>
                      <w:rFonts w:hint="eastAsia" w:ascii="宋体" w:hAnsi="宋体" w:cs="黑体"/>
                      <w:bCs/>
                      <w:kern w:val="0"/>
                      <w:sz w:val="21"/>
                      <w:szCs w:val="21"/>
                    </w:rPr>
                    <w:t>5</w:t>
                  </w:r>
                  <w:r>
                    <w:rPr>
                      <w:rFonts w:ascii="宋体" w:hAnsi="宋体" w:cs="黑体"/>
                      <w:bCs/>
                      <w:kern w:val="0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cyan"/>
                    </w:rPr>
                    <w:t>季度</w:t>
                  </w: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一次交验合格数</w:t>
                  </w:r>
                  <w:r>
                    <w:rPr>
                      <w:rFonts w:ascii="宋体" w:hAnsi="宋体" w:cs="宋体"/>
                      <w:sz w:val="21"/>
                      <w:szCs w:val="21"/>
                    </w:rPr>
                    <w:t>/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交验总数×</w:t>
                  </w:r>
                  <w:r>
                    <w:rPr>
                      <w:rFonts w:ascii="宋体" w:hAnsi="宋体" w:cs="宋体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21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cyan"/>
                    </w:rPr>
                    <w:t>1</w:t>
                  </w:r>
                  <w:r>
                    <w:rPr>
                      <w:color w:val="000000"/>
                      <w:sz w:val="21"/>
                      <w:szCs w:val="21"/>
                      <w:highlight w:val="cyan"/>
                    </w:rPr>
                    <w:t>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黑体"/>
                      <w:bCs/>
                      <w:kern w:val="0"/>
                      <w:sz w:val="21"/>
                      <w:szCs w:val="21"/>
                    </w:rPr>
                    <w:t>顾客满意率≥</w:t>
                  </w:r>
                  <w:r>
                    <w:rPr>
                      <w:rFonts w:ascii="宋体" w:hAnsi="宋体" w:cs="黑体"/>
                      <w:bCs/>
                      <w:kern w:val="0"/>
                      <w:sz w:val="21"/>
                      <w:szCs w:val="21"/>
                    </w:rPr>
                    <w:t>9</w:t>
                  </w:r>
                  <w:r>
                    <w:rPr>
                      <w:rFonts w:hint="eastAsia" w:ascii="宋体" w:hAnsi="宋体" w:cs="黑体"/>
                      <w:bCs/>
                      <w:kern w:val="0"/>
                      <w:sz w:val="21"/>
                      <w:szCs w:val="21"/>
                    </w:rPr>
                    <w:t>5</w:t>
                  </w:r>
                  <w:r>
                    <w:rPr>
                      <w:rFonts w:ascii="宋体" w:hAnsi="宋体" w:cs="黑体"/>
                      <w:bCs/>
                      <w:kern w:val="0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cyan"/>
                    </w:rPr>
                    <w:t>季度</w:t>
                  </w: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《相关方满意测量程序》</w:t>
                  </w:r>
                </w:p>
              </w:tc>
              <w:tc>
                <w:tcPr>
                  <w:tcW w:w="21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98.9%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黑体"/>
                      <w:bCs/>
                      <w:kern w:val="0"/>
                      <w:sz w:val="21"/>
                      <w:szCs w:val="21"/>
                    </w:rPr>
                    <w:t>废弃物</w:t>
                  </w:r>
                  <w:r>
                    <w:rPr>
                      <w:rFonts w:ascii="宋体" w:hAnsi="宋体" w:cs="黑体"/>
                      <w:bCs/>
                      <w:kern w:val="0"/>
                      <w:sz w:val="21"/>
                      <w:szCs w:val="21"/>
                    </w:rPr>
                    <w:t>100%</w:t>
                  </w:r>
                  <w:r>
                    <w:rPr>
                      <w:rFonts w:hint="eastAsia" w:ascii="宋体" w:hAnsi="宋体" w:cs="黑体"/>
                      <w:bCs/>
                      <w:kern w:val="0"/>
                      <w:sz w:val="21"/>
                      <w:szCs w:val="21"/>
                    </w:rPr>
                    <w:t>实现分类存放，合理处置</w:t>
                  </w: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cyan"/>
                    </w:rPr>
                    <w:t>季度</w:t>
                  </w: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21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cyan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黑体"/>
                      <w:bCs/>
                      <w:kern w:val="0"/>
                      <w:sz w:val="21"/>
                      <w:szCs w:val="21"/>
                    </w:rPr>
                    <w:t>杜绝发生重大污染事故</w:t>
                  </w: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cyan"/>
                    </w:rPr>
                    <w:t>年</w:t>
                  </w: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21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cya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黑体"/>
                      <w:bCs/>
                      <w:kern w:val="0"/>
                      <w:sz w:val="21"/>
                      <w:szCs w:val="21"/>
                    </w:rPr>
                    <w:t>厂界噪声执行《工业企业厂界环境噪声标准》(GB12348-2008)II类标准：昼间60dB（A），夜间50dB（A）</w:t>
                  </w: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cyan"/>
                    </w:rPr>
                    <w:t>年</w:t>
                  </w: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21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cyan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黑体"/>
                      <w:bCs/>
                      <w:kern w:val="0"/>
                      <w:sz w:val="21"/>
                      <w:szCs w:val="21"/>
                    </w:rPr>
                    <w:t>杜绝发生重伤、死亡事故</w:t>
                  </w: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cyan"/>
                    </w:rPr>
                    <w:t>年</w:t>
                  </w: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21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cya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黑体"/>
                      <w:bCs/>
                      <w:kern w:val="0"/>
                      <w:sz w:val="21"/>
                      <w:szCs w:val="21"/>
                    </w:rPr>
                    <w:t>轻伤每年不超过</w:t>
                  </w:r>
                  <w:r>
                    <w:rPr>
                      <w:rFonts w:ascii="宋体" w:hAnsi="宋体" w:cs="黑体"/>
                      <w:bCs/>
                      <w:kern w:val="0"/>
                      <w:sz w:val="21"/>
                      <w:szCs w:val="21"/>
                    </w:rPr>
                    <w:t>3</w:t>
                  </w:r>
                  <w:r>
                    <w:rPr>
                      <w:rFonts w:hint="eastAsia" w:ascii="宋体" w:hAnsi="宋体" w:cs="黑体"/>
                      <w:bCs/>
                      <w:kern w:val="0"/>
                      <w:sz w:val="21"/>
                      <w:szCs w:val="21"/>
                    </w:rPr>
                    <w:t>起</w:t>
                  </w: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cyan"/>
                    </w:rPr>
                    <w:t>年</w:t>
                  </w: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21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cya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cs="黑体"/>
                      <w:bCs/>
                      <w:kern w:val="0"/>
                      <w:sz w:val="21"/>
                      <w:szCs w:val="21"/>
                    </w:rPr>
                    <w:t>火灾事故发生率为</w:t>
                  </w:r>
                  <w:r>
                    <w:rPr>
                      <w:rFonts w:ascii="宋体" w:hAnsi="宋体" w:cs="黑体"/>
                      <w:bCs/>
                      <w:kern w:val="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cyan"/>
                    </w:rPr>
                    <w:t>年</w:t>
                  </w: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21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cyan"/>
                    </w:rPr>
                    <w:t>无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1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26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15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FF0000"/>
                <w:szCs w:val="18"/>
                <w:u w:val="single"/>
              </w:rPr>
              <w:t>56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2021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8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5-6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1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2021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8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28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8.3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楷体" w:hAnsi="楷体" w:eastAsia="楷体" w:cs="楷体"/>
                <w:szCs w:val="21"/>
              </w:rPr>
              <w:t>公司所生产的产品均按照客户图纸、产品相关标准及顾客要求生产，生产服务按照体系建立之前所策划好的生产模式进行，工艺流程成熟简单，故不适用于质量管理体系中的8.3条款。不适用的要求不影响组织确保其产品和服务合格的能力或责任，对增强顾客满意也不会产生影响。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bookmarkStart w:id="5" w:name="_GoBack"/>
            <w:r>
              <w:rPr>
                <w:rFonts w:hint="eastAsia"/>
                <w:color w:val="000000"/>
                <w:u w:val="single"/>
              </w:rPr>
              <w:t>机械加工、热镀锌</w:t>
            </w:r>
            <w:bookmarkEnd w:id="5"/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尺寸、热镀锌厚度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焊接</w:t>
            </w:r>
            <w:r>
              <w:rPr>
                <w:color w:val="000000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切割机、剪板机、氩弧焊机、电焊机、钻床机、冲床、磨光机、弯曲机、移动式焊烟净化器等；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千分尺、钢卷尺、游标卡尺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 w:ascii="宋体" w:hAnsi="宋体"/>
                <w:color w:val="FF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>3000</w:t>
            </w:r>
            <w:r>
              <w:rPr>
                <w:rFonts w:hint="eastAsia"/>
                <w:color w:val="000000"/>
                <w:szCs w:val="18"/>
                <w:u w:val="single"/>
              </w:rPr>
              <w:t>吨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>5000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吨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宏磐（2</w:t>
            </w:r>
            <w:r>
              <w:rPr>
                <w:color w:val="000000"/>
                <w:szCs w:val="18"/>
                <w:u w:val="single"/>
              </w:rPr>
              <w:t>021</w:t>
            </w:r>
            <w:r>
              <w:rPr>
                <w:rFonts w:hint="eastAsia"/>
                <w:color w:val="000000"/>
                <w:szCs w:val="18"/>
                <w:u w:val="single"/>
              </w:rPr>
              <w:t>）第W</w:t>
            </w:r>
            <w:r>
              <w:rPr>
                <w:color w:val="000000"/>
                <w:szCs w:val="18"/>
                <w:u w:val="single"/>
              </w:rPr>
              <w:t>1451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号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</w:t>
            </w:r>
            <w:r>
              <w:rPr>
                <w:color w:val="000000"/>
                <w:szCs w:val="18"/>
                <w:u w:val="single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 </w:t>
            </w:r>
            <w:r>
              <w:rPr>
                <w:color w:val="000000"/>
                <w:szCs w:val="18"/>
                <w:u w:val="single"/>
              </w:rPr>
              <w:t>12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20</w:t>
            </w:r>
            <w:r>
              <w:rPr>
                <w:rFonts w:hint="eastAsia"/>
                <w:color w:val="000000"/>
                <w:lang w:val="en-US" w:eastAsia="zh-CN"/>
              </w:rPr>
              <w:t>21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  <w:lang w:val="en-US" w:eastAsia="zh-CN"/>
              </w:rPr>
              <w:t>18消防演习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了解消防控制状况（消防备案或消防验收）：不适用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了解特种设备作业人员的状况：无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观察危险化学品的控制状况：不适用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  <w:lang w:val="en-US" w:eastAsia="zh-CN"/>
              </w:rPr>
              <w:t>21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  <w:lang w:val="en-US" w:eastAsia="zh-CN"/>
              </w:rPr>
              <w:t>18消防演练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 xml:space="preserve">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1025" o:spid="_x0000_s1025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1A92"/>
    <w:rsid w:val="00120F93"/>
    <w:rsid w:val="00170558"/>
    <w:rsid w:val="00610F4A"/>
    <w:rsid w:val="00626D38"/>
    <w:rsid w:val="00627907"/>
    <w:rsid w:val="006C2614"/>
    <w:rsid w:val="00735CCE"/>
    <w:rsid w:val="00762DCA"/>
    <w:rsid w:val="0088162B"/>
    <w:rsid w:val="00885D14"/>
    <w:rsid w:val="00A42619"/>
    <w:rsid w:val="00A963A0"/>
    <w:rsid w:val="00B2321F"/>
    <w:rsid w:val="00B55B3A"/>
    <w:rsid w:val="00C21BD6"/>
    <w:rsid w:val="00C63E11"/>
    <w:rsid w:val="00C66F51"/>
    <w:rsid w:val="00C83DA3"/>
    <w:rsid w:val="00D5583F"/>
    <w:rsid w:val="00D7154F"/>
    <w:rsid w:val="00DB45EE"/>
    <w:rsid w:val="00DD7A6A"/>
    <w:rsid w:val="00DF1A92"/>
    <w:rsid w:val="00E55331"/>
    <w:rsid w:val="00F14953"/>
    <w:rsid w:val="00FA36D2"/>
    <w:rsid w:val="24ED4DB0"/>
    <w:rsid w:val="57E06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4">
    <w:name w:val="_Style 1"/>
    <w:basedOn w:val="1"/>
    <w:qFormat/>
    <w:uiPriority w:val="34"/>
    <w:pPr>
      <w:spacing w:after="0" w:line="240" w:lineRule="auto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1660</Words>
  <Characters>9463</Characters>
  <Lines>78</Lines>
  <Paragraphs>22</Paragraphs>
  <TotalTime>5</TotalTime>
  <ScaleCrop>false</ScaleCrop>
  <LinksUpToDate>false</LinksUpToDate>
  <CharactersWithSpaces>11101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2021-11-16T05:33:31Z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2052-11.1.0.11045</vt:lpwstr>
  </property>
</Properties>
</file>