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53" w:rsidRPr="005C0A53" w:rsidRDefault="00C0565B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 w:rsidRDefault="00C0565B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0027-2017-2021</w:t>
      </w:r>
      <w:bookmarkEnd w:id="0"/>
    </w:p>
    <w:tbl>
      <w:tblPr>
        <w:tblStyle w:val="a6"/>
        <w:tblW w:w="11387" w:type="dxa"/>
        <w:jc w:val="center"/>
        <w:tblLayout w:type="fixed"/>
        <w:tblLook w:val="04A0"/>
      </w:tblPr>
      <w:tblGrid>
        <w:gridCol w:w="1092"/>
        <w:gridCol w:w="1176"/>
        <w:gridCol w:w="887"/>
        <w:gridCol w:w="992"/>
        <w:gridCol w:w="992"/>
        <w:gridCol w:w="2100"/>
        <w:gridCol w:w="1727"/>
        <w:gridCol w:w="1276"/>
        <w:gridCol w:w="1145"/>
      </w:tblGrid>
      <w:tr w:rsidR="008535AA" w:rsidRPr="0083442B" w:rsidTr="0083442B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3442B" w:rsidRDefault="00C0565B" w:rsidP="0083442B">
            <w:pPr>
              <w:rPr>
                <w:rFonts w:asciiTheme="minorEastAsia" w:hAnsiTheme="minorEastAsia"/>
                <w:sz w:val="18"/>
                <w:szCs w:val="18"/>
              </w:rPr>
            </w:pPr>
            <w:r w:rsidRPr="0083442B">
              <w:rPr>
                <w:rFonts w:asciiTheme="minorEastAsia" w:hAnsiTheme="minorEastAsia" w:hint="eastAsia"/>
                <w:sz w:val="18"/>
                <w:szCs w:val="18"/>
              </w:rPr>
              <w:t>企业名称</w:t>
            </w:r>
          </w:p>
        </w:tc>
        <w:tc>
          <w:tcPr>
            <w:tcW w:w="10295" w:type="dxa"/>
            <w:gridSpan w:val="8"/>
            <w:vAlign w:val="center"/>
          </w:tcPr>
          <w:p w:rsidR="0044252F" w:rsidRPr="0083442B" w:rsidRDefault="00C0565B" w:rsidP="0083442B">
            <w:pPr>
              <w:rPr>
                <w:rFonts w:asciiTheme="minorEastAsia" w:hAnsiTheme="minorEastAsia"/>
                <w:sz w:val="18"/>
                <w:szCs w:val="18"/>
              </w:rPr>
            </w:pPr>
            <w:bookmarkStart w:id="1" w:name="组织名称"/>
            <w:r w:rsidRPr="0083442B">
              <w:rPr>
                <w:rFonts w:asciiTheme="minorEastAsia" w:hAnsiTheme="minorEastAsia"/>
                <w:sz w:val="18"/>
                <w:szCs w:val="18"/>
              </w:rPr>
              <w:t>中国石油化工股份有限公司西北油田分公司油气</w:t>
            </w:r>
            <w:proofErr w:type="gramStart"/>
            <w:r w:rsidRPr="0083442B">
              <w:rPr>
                <w:rFonts w:asciiTheme="minorEastAsia" w:hAnsiTheme="minorEastAsia"/>
                <w:sz w:val="18"/>
                <w:szCs w:val="18"/>
              </w:rPr>
              <w:t>运销部</w:t>
            </w:r>
            <w:bookmarkEnd w:id="1"/>
            <w:proofErr w:type="gramEnd"/>
          </w:p>
        </w:tc>
      </w:tr>
      <w:tr w:rsidR="008535AA" w:rsidRPr="0083442B" w:rsidTr="0083442B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3442B" w:rsidRDefault="00C0565B" w:rsidP="0083442B">
            <w:pPr>
              <w:rPr>
                <w:rFonts w:asciiTheme="minorEastAsia" w:hAnsiTheme="minorEastAsia"/>
                <w:sz w:val="18"/>
                <w:szCs w:val="18"/>
              </w:rPr>
            </w:pPr>
            <w:r w:rsidRPr="0083442B">
              <w:rPr>
                <w:rFonts w:asciiTheme="minorEastAsia" w:hAnsiTheme="minorEastAsia"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3442B" w:rsidRDefault="00C0565B" w:rsidP="0083442B">
            <w:pPr>
              <w:rPr>
                <w:rFonts w:asciiTheme="minorEastAsia" w:hAnsiTheme="minorEastAsia"/>
                <w:sz w:val="18"/>
                <w:szCs w:val="18"/>
              </w:rPr>
            </w:pPr>
            <w:r w:rsidRPr="0083442B">
              <w:rPr>
                <w:rFonts w:asciiTheme="minorEastAsia" w:hAnsiTheme="minorEastAsia" w:hint="eastAsia"/>
                <w:sz w:val="18"/>
                <w:szCs w:val="18"/>
              </w:rPr>
              <w:t>测量设备名称</w:t>
            </w:r>
          </w:p>
        </w:tc>
        <w:tc>
          <w:tcPr>
            <w:tcW w:w="887" w:type="dxa"/>
            <w:vAlign w:val="center"/>
          </w:tcPr>
          <w:p w:rsidR="0044252F" w:rsidRPr="0083442B" w:rsidRDefault="00C0565B" w:rsidP="0083442B">
            <w:pPr>
              <w:rPr>
                <w:rFonts w:asciiTheme="minorEastAsia" w:hAnsiTheme="minorEastAsia"/>
                <w:sz w:val="18"/>
                <w:szCs w:val="18"/>
              </w:rPr>
            </w:pPr>
            <w:r w:rsidRPr="0083442B">
              <w:rPr>
                <w:rFonts w:asciiTheme="minorEastAsia" w:hAnsiTheme="minorEastAsia" w:hint="eastAsia"/>
                <w:sz w:val="18"/>
                <w:szCs w:val="18"/>
              </w:rPr>
              <w:t>测量设备编号</w:t>
            </w:r>
          </w:p>
        </w:tc>
        <w:tc>
          <w:tcPr>
            <w:tcW w:w="992" w:type="dxa"/>
            <w:vAlign w:val="center"/>
          </w:tcPr>
          <w:p w:rsidR="0044252F" w:rsidRPr="0083442B" w:rsidRDefault="00C0565B" w:rsidP="0083442B">
            <w:pPr>
              <w:rPr>
                <w:rFonts w:asciiTheme="minorEastAsia" w:hAnsiTheme="minorEastAsia"/>
                <w:sz w:val="18"/>
                <w:szCs w:val="18"/>
              </w:rPr>
            </w:pPr>
            <w:r w:rsidRPr="0083442B">
              <w:rPr>
                <w:rFonts w:asciiTheme="minorEastAsia" w:hAnsiTheme="minorEastAsia" w:hint="eastAsia"/>
                <w:sz w:val="18"/>
                <w:szCs w:val="18"/>
              </w:rPr>
              <w:t>型号规格</w:t>
            </w:r>
          </w:p>
        </w:tc>
        <w:tc>
          <w:tcPr>
            <w:tcW w:w="992" w:type="dxa"/>
            <w:vAlign w:val="center"/>
          </w:tcPr>
          <w:p w:rsidR="0044252F" w:rsidRPr="0083442B" w:rsidRDefault="00C0565B" w:rsidP="0083442B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442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测量设备计量特性</w:t>
            </w:r>
          </w:p>
        </w:tc>
        <w:tc>
          <w:tcPr>
            <w:tcW w:w="2100" w:type="dxa"/>
            <w:vAlign w:val="center"/>
          </w:tcPr>
          <w:p w:rsidR="0044252F" w:rsidRPr="0083442B" w:rsidRDefault="00C0565B" w:rsidP="0083442B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442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727" w:type="dxa"/>
            <w:vAlign w:val="center"/>
          </w:tcPr>
          <w:p w:rsidR="0044252F" w:rsidRPr="0083442B" w:rsidRDefault="00C0565B" w:rsidP="0083442B">
            <w:pPr>
              <w:rPr>
                <w:rFonts w:asciiTheme="minorEastAsia" w:hAnsiTheme="minorEastAsia"/>
                <w:sz w:val="18"/>
                <w:szCs w:val="18"/>
              </w:rPr>
            </w:pPr>
            <w:r w:rsidRPr="0083442B">
              <w:rPr>
                <w:rFonts w:asciiTheme="minorEastAsia" w:hAnsiTheme="minorEastAsia"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 w:rsidR="0044252F" w:rsidRPr="0083442B" w:rsidRDefault="00C0565B" w:rsidP="0083442B">
            <w:pPr>
              <w:rPr>
                <w:rFonts w:asciiTheme="minorEastAsia" w:hAnsiTheme="minorEastAsia"/>
                <w:sz w:val="18"/>
                <w:szCs w:val="18"/>
              </w:rPr>
            </w:pPr>
            <w:r w:rsidRPr="0083442B">
              <w:rPr>
                <w:rFonts w:asciiTheme="minorEastAsia" w:hAnsiTheme="minorEastAsia" w:hint="eastAsia"/>
                <w:sz w:val="18"/>
                <w:szCs w:val="18"/>
              </w:rPr>
              <w:t>检定/校准日期</w:t>
            </w:r>
          </w:p>
        </w:tc>
        <w:tc>
          <w:tcPr>
            <w:tcW w:w="1145" w:type="dxa"/>
            <w:vAlign w:val="center"/>
          </w:tcPr>
          <w:p w:rsidR="0044252F" w:rsidRPr="0083442B" w:rsidRDefault="00C0565B" w:rsidP="0083442B">
            <w:pPr>
              <w:rPr>
                <w:rFonts w:asciiTheme="minorEastAsia" w:hAnsiTheme="minorEastAsia"/>
                <w:sz w:val="18"/>
                <w:szCs w:val="18"/>
              </w:rPr>
            </w:pPr>
            <w:r w:rsidRPr="0083442B">
              <w:rPr>
                <w:rFonts w:asciiTheme="minorEastAsia" w:hAnsiTheme="minorEastAsia" w:hint="eastAsia"/>
                <w:sz w:val="18"/>
                <w:szCs w:val="18"/>
              </w:rPr>
              <w:t>符合打√</w:t>
            </w:r>
          </w:p>
          <w:p w:rsidR="0044252F" w:rsidRPr="0083442B" w:rsidRDefault="00C0565B" w:rsidP="0083442B">
            <w:pPr>
              <w:rPr>
                <w:rFonts w:asciiTheme="minorEastAsia" w:hAnsiTheme="minorEastAsia"/>
                <w:sz w:val="18"/>
                <w:szCs w:val="18"/>
              </w:rPr>
            </w:pPr>
            <w:r w:rsidRPr="0083442B">
              <w:rPr>
                <w:rFonts w:asciiTheme="minorEastAsia" w:hAnsiTheme="minorEastAsia" w:hint="eastAsia"/>
                <w:sz w:val="18"/>
                <w:szCs w:val="18"/>
              </w:rPr>
              <w:t>不符合打</w:t>
            </w:r>
            <w:r w:rsidRPr="0083442B">
              <w:rPr>
                <w:rFonts w:asciiTheme="minorEastAsia" w:hAnsiTheme="minorEastAsia" w:cs="Times New Roman"/>
                <w:sz w:val="18"/>
                <w:szCs w:val="18"/>
              </w:rPr>
              <w:t>×</w:t>
            </w:r>
          </w:p>
        </w:tc>
      </w:tr>
      <w:tr w:rsidR="00E57F4D" w:rsidRPr="0083442B" w:rsidTr="0083442B">
        <w:trPr>
          <w:trHeight w:val="566"/>
          <w:jc w:val="center"/>
        </w:trPr>
        <w:tc>
          <w:tcPr>
            <w:tcW w:w="1092" w:type="dxa"/>
            <w:vAlign w:val="center"/>
          </w:tcPr>
          <w:p w:rsidR="00E57F4D" w:rsidRPr="00204DBE" w:rsidRDefault="00E57F4D" w:rsidP="0083442B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04DBE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塔库首站</w:t>
            </w:r>
            <w:proofErr w:type="gramEnd"/>
          </w:p>
        </w:tc>
        <w:tc>
          <w:tcPr>
            <w:tcW w:w="1176" w:type="dxa"/>
            <w:vAlign w:val="center"/>
          </w:tcPr>
          <w:p w:rsidR="00E57F4D" w:rsidRPr="00204DBE" w:rsidRDefault="00E931EF" w:rsidP="0083442B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04DBE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测深钢卷</w:t>
            </w:r>
            <w:r w:rsidR="00E57F4D" w:rsidRPr="00204DBE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尺</w:t>
            </w:r>
          </w:p>
        </w:tc>
        <w:tc>
          <w:tcPr>
            <w:tcW w:w="887" w:type="dxa"/>
            <w:vAlign w:val="center"/>
          </w:tcPr>
          <w:p w:rsidR="00E57F4D" w:rsidRPr="0083442B" w:rsidRDefault="00E57F4D" w:rsidP="0083442B">
            <w:pPr>
              <w:rPr>
                <w:rFonts w:asciiTheme="minorEastAsia" w:hAnsiTheme="minorEastAsia"/>
                <w:sz w:val="18"/>
                <w:szCs w:val="18"/>
              </w:rPr>
            </w:pPr>
            <w:r w:rsidRPr="0083442B">
              <w:rPr>
                <w:rFonts w:asciiTheme="minorEastAsia" w:hAnsiTheme="minorEastAsia"/>
                <w:sz w:val="18"/>
                <w:szCs w:val="18"/>
              </w:rPr>
              <w:t>04</w:t>
            </w:r>
          </w:p>
        </w:tc>
        <w:tc>
          <w:tcPr>
            <w:tcW w:w="992" w:type="dxa"/>
            <w:vAlign w:val="center"/>
          </w:tcPr>
          <w:p w:rsidR="00E57F4D" w:rsidRPr="0083442B" w:rsidRDefault="00E57F4D" w:rsidP="0083442B">
            <w:pPr>
              <w:rPr>
                <w:rFonts w:asciiTheme="minorEastAsia" w:hAnsiTheme="minorEastAsia"/>
                <w:sz w:val="18"/>
                <w:szCs w:val="18"/>
              </w:rPr>
            </w:pPr>
            <w:r w:rsidRPr="0083442B">
              <w:rPr>
                <w:rFonts w:asciiTheme="minorEastAsia" w:hAnsiTheme="minorEastAsia"/>
                <w:sz w:val="18"/>
                <w:szCs w:val="18"/>
              </w:rPr>
              <w:t>30m</w:t>
            </w:r>
          </w:p>
        </w:tc>
        <w:tc>
          <w:tcPr>
            <w:tcW w:w="992" w:type="dxa"/>
            <w:vAlign w:val="center"/>
          </w:tcPr>
          <w:p w:rsidR="00E57F4D" w:rsidRPr="0083442B" w:rsidRDefault="00E71EDF" w:rsidP="00E71ED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示值误差：</w:t>
            </w:r>
            <w:r w:rsidR="00E931EF">
              <w:rPr>
                <w:rFonts w:asciiTheme="minorEastAsia" w:hAnsiTheme="minorEastAsia" w:cs="宋体" w:hint="eastAsia"/>
                <w:sz w:val="18"/>
                <w:szCs w:val="18"/>
              </w:rPr>
              <w:t>+1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>.1</w:t>
            </w:r>
            <w:r w:rsidR="00E57F4D" w:rsidRPr="0083442B">
              <w:rPr>
                <w:rFonts w:asciiTheme="minorEastAsia" w:hAnsiTheme="minorEastAsia"/>
                <w:sz w:val="18"/>
                <w:szCs w:val="18"/>
              </w:rPr>
              <w:t>mm</w:t>
            </w:r>
          </w:p>
        </w:tc>
        <w:tc>
          <w:tcPr>
            <w:tcW w:w="2100" w:type="dxa"/>
            <w:vAlign w:val="center"/>
          </w:tcPr>
          <w:p w:rsidR="00E57F4D" w:rsidRPr="0083442B" w:rsidRDefault="00E57F4D" w:rsidP="0083442B">
            <w:pPr>
              <w:rPr>
                <w:rFonts w:asciiTheme="minorEastAsia" w:hAnsiTheme="minorEastAsia"/>
                <w:sz w:val="18"/>
                <w:szCs w:val="18"/>
              </w:rPr>
            </w:pPr>
            <w:r w:rsidRPr="0083442B">
              <w:rPr>
                <w:rFonts w:asciiTheme="minorEastAsia" w:hAnsiTheme="minorEastAsia" w:cs="宋体" w:hint="eastAsia"/>
                <w:sz w:val="18"/>
                <w:szCs w:val="18"/>
              </w:rPr>
              <w:t>标准钢卷尺</w:t>
            </w:r>
            <w:r w:rsidRPr="0083442B">
              <w:rPr>
                <w:rFonts w:asciiTheme="minorEastAsia" w:hAnsiTheme="minorEastAsia"/>
                <w:sz w:val="18"/>
                <w:szCs w:val="18"/>
              </w:rPr>
              <w:t>MPE</w:t>
            </w:r>
            <w:r w:rsidRPr="0083442B">
              <w:rPr>
                <w:rFonts w:asciiTheme="minorEastAsia" w:hAnsiTheme="minorEastAsia" w:hint="eastAsia"/>
                <w:sz w:val="18"/>
                <w:szCs w:val="18"/>
              </w:rPr>
              <w:t>：±（</w:t>
            </w:r>
            <w:r w:rsidRPr="0083442B">
              <w:rPr>
                <w:rFonts w:asciiTheme="minorEastAsia" w:hAnsiTheme="minorEastAsia"/>
                <w:sz w:val="18"/>
                <w:szCs w:val="18"/>
              </w:rPr>
              <w:t>0.03mm+3</w:t>
            </w:r>
            <w:r w:rsidRPr="0083442B">
              <w:rPr>
                <w:rFonts w:asciiTheme="minorEastAsia" w:hAnsiTheme="minorEastAsia" w:hint="eastAsia"/>
                <w:sz w:val="18"/>
                <w:szCs w:val="18"/>
              </w:rPr>
              <w:t>x</w:t>
            </w:r>
            <w:r w:rsidRPr="0083442B">
              <w:rPr>
                <w:rFonts w:asciiTheme="minorEastAsia" w:hAnsiTheme="minorEastAsia"/>
                <w:sz w:val="18"/>
                <w:szCs w:val="18"/>
              </w:rPr>
              <w:t>10</w:t>
            </w:r>
            <w:r w:rsidRPr="0083442B">
              <w:rPr>
                <w:rFonts w:asciiTheme="minorEastAsia" w:hAnsiTheme="minorEastAsia"/>
                <w:sz w:val="18"/>
                <w:szCs w:val="18"/>
                <w:vertAlign w:val="superscript"/>
              </w:rPr>
              <w:t>-5</w:t>
            </w:r>
            <w:r w:rsidRPr="0083442B">
              <w:rPr>
                <w:rFonts w:asciiTheme="minorEastAsia" w:hAnsiTheme="minorEastAsia"/>
                <w:sz w:val="18"/>
                <w:szCs w:val="18"/>
              </w:rPr>
              <w:t>L</w:t>
            </w:r>
            <w:r w:rsidRPr="0083442B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Pr="0083442B">
              <w:rPr>
                <w:rFonts w:asciiTheme="minorEastAsia" w:hAnsiTheme="minorEastAsia"/>
                <w:sz w:val="18"/>
                <w:szCs w:val="18"/>
              </w:rPr>
              <w:t>/</w:t>
            </w:r>
            <w:r w:rsidRPr="0083442B">
              <w:rPr>
                <w:rFonts w:asciiTheme="minorEastAsia" w:hAnsiTheme="minorEastAsia" w:hint="eastAsia"/>
                <w:sz w:val="18"/>
                <w:szCs w:val="18"/>
              </w:rPr>
              <w:t>零位检定器</w:t>
            </w:r>
            <w:r w:rsidRPr="0083442B">
              <w:rPr>
                <w:rFonts w:asciiTheme="minorEastAsia" w:hAnsiTheme="minorEastAsia"/>
                <w:sz w:val="18"/>
                <w:szCs w:val="18"/>
              </w:rPr>
              <w:t xml:space="preserve"> U=0.01mm</w:t>
            </w:r>
            <w:r w:rsidRPr="0083442B"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 w:rsidRPr="0083442B">
              <w:rPr>
                <w:rFonts w:asciiTheme="minorEastAsia" w:hAnsiTheme="minorEastAsia"/>
                <w:sz w:val="18"/>
                <w:szCs w:val="18"/>
              </w:rPr>
              <w:t>k=2</w:t>
            </w:r>
          </w:p>
        </w:tc>
        <w:tc>
          <w:tcPr>
            <w:tcW w:w="1727" w:type="dxa"/>
            <w:vAlign w:val="center"/>
          </w:tcPr>
          <w:p w:rsidR="00E57F4D" w:rsidRPr="0083442B" w:rsidRDefault="00E57F4D" w:rsidP="0083442B">
            <w:pPr>
              <w:rPr>
                <w:rFonts w:asciiTheme="minorEastAsia" w:hAnsiTheme="minorEastAsia"/>
                <w:sz w:val="18"/>
                <w:szCs w:val="18"/>
              </w:rPr>
            </w:pPr>
            <w:r w:rsidRPr="0083442B">
              <w:rPr>
                <w:rFonts w:asciiTheme="minorEastAsia" w:hAnsiTheme="minorEastAsia" w:cs="宋体" w:hint="eastAsia"/>
                <w:sz w:val="18"/>
                <w:szCs w:val="18"/>
              </w:rPr>
              <w:t>新疆维吾尔自治区计量测试研究</w:t>
            </w:r>
            <w:r w:rsidRPr="0083442B">
              <w:rPr>
                <w:rFonts w:asciiTheme="minorEastAsia" w:hAnsiTheme="minorEastAsia" w:hint="eastAsia"/>
                <w:sz w:val="18"/>
                <w:szCs w:val="18"/>
              </w:rPr>
              <w:t>院</w:t>
            </w:r>
          </w:p>
        </w:tc>
        <w:tc>
          <w:tcPr>
            <w:tcW w:w="1276" w:type="dxa"/>
            <w:vAlign w:val="center"/>
          </w:tcPr>
          <w:p w:rsidR="00E57F4D" w:rsidRPr="0083442B" w:rsidRDefault="00E57F4D" w:rsidP="0083442B">
            <w:pPr>
              <w:rPr>
                <w:rFonts w:asciiTheme="minorEastAsia" w:hAnsiTheme="minorEastAsia"/>
                <w:sz w:val="18"/>
                <w:szCs w:val="18"/>
              </w:rPr>
            </w:pPr>
            <w:r w:rsidRPr="0083442B">
              <w:rPr>
                <w:rFonts w:asciiTheme="minorEastAsia" w:hAnsiTheme="minorEastAsia"/>
                <w:sz w:val="18"/>
                <w:szCs w:val="18"/>
              </w:rPr>
              <w:t>2021</w:t>
            </w:r>
            <w:r w:rsidRPr="0083442B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83442B">
              <w:rPr>
                <w:rFonts w:asciiTheme="minorEastAsia" w:hAnsiTheme="minorEastAsia"/>
                <w:sz w:val="18"/>
                <w:szCs w:val="18"/>
              </w:rPr>
              <w:t>06</w:t>
            </w:r>
            <w:r w:rsidRPr="0083442B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Pr="0083442B">
              <w:rPr>
                <w:rFonts w:asciiTheme="minorEastAsia" w:hAnsiTheme="minorEastAsia"/>
                <w:sz w:val="18"/>
                <w:szCs w:val="18"/>
              </w:rPr>
              <w:t>30</w:t>
            </w:r>
            <w:r w:rsidRPr="0083442B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145" w:type="dxa"/>
            <w:vAlign w:val="center"/>
          </w:tcPr>
          <w:p w:rsidR="00E57F4D" w:rsidRPr="0083442B" w:rsidRDefault="00E57F4D" w:rsidP="0083442B">
            <w:pPr>
              <w:rPr>
                <w:rFonts w:asciiTheme="minorEastAsia" w:hAnsiTheme="minorEastAsia"/>
                <w:sz w:val="18"/>
                <w:szCs w:val="18"/>
              </w:rPr>
            </w:pPr>
            <w:r w:rsidRPr="0083442B">
              <w:rPr>
                <w:rFonts w:asciiTheme="minorEastAsia" w:hAnsiTheme="minorEastAsia" w:hint="eastAsia"/>
                <w:sz w:val="18"/>
                <w:szCs w:val="18"/>
              </w:rPr>
              <w:t>√</w:t>
            </w:r>
          </w:p>
        </w:tc>
      </w:tr>
      <w:tr w:rsidR="00E57F4D" w:rsidRPr="0083442B" w:rsidTr="0083442B">
        <w:trPr>
          <w:trHeight w:val="546"/>
          <w:jc w:val="center"/>
        </w:trPr>
        <w:tc>
          <w:tcPr>
            <w:tcW w:w="1092" w:type="dxa"/>
            <w:vAlign w:val="center"/>
          </w:tcPr>
          <w:p w:rsidR="00E57F4D" w:rsidRPr="00204DBE" w:rsidRDefault="00E57F4D" w:rsidP="0083442B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04DBE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塔库首</w:t>
            </w:r>
            <w:r w:rsidRPr="00204DBE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站</w:t>
            </w:r>
            <w:proofErr w:type="gramEnd"/>
          </w:p>
        </w:tc>
        <w:tc>
          <w:tcPr>
            <w:tcW w:w="1176" w:type="dxa"/>
            <w:vAlign w:val="center"/>
          </w:tcPr>
          <w:p w:rsidR="00E57F4D" w:rsidRPr="00204DBE" w:rsidRDefault="00E57F4D" w:rsidP="0083442B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04DBE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固定式可燃气体检测报警</w:t>
            </w:r>
            <w:r w:rsidRPr="00204DBE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器</w:t>
            </w:r>
          </w:p>
        </w:tc>
        <w:tc>
          <w:tcPr>
            <w:tcW w:w="887" w:type="dxa"/>
            <w:vAlign w:val="center"/>
          </w:tcPr>
          <w:p w:rsidR="00E57F4D" w:rsidRPr="0083442B" w:rsidRDefault="00E57F4D" w:rsidP="0083442B">
            <w:pPr>
              <w:rPr>
                <w:rFonts w:asciiTheme="minorEastAsia" w:hAnsiTheme="minorEastAsia"/>
                <w:sz w:val="18"/>
                <w:szCs w:val="18"/>
              </w:rPr>
            </w:pPr>
            <w:r w:rsidRPr="0083442B">
              <w:rPr>
                <w:rFonts w:asciiTheme="minorEastAsia" w:hAnsiTheme="minorEastAsia"/>
                <w:sz w:val="18"/>
                <w:szCs w:val="18"/>
              </w:rPr>
              <w:t>350115250352</w:t>
            </w:r>
          </w:p>
        </w:tc>
        <w:tc>
          <w:tcPr>
            <w:tcW w:w="992" w:type="dxa"/>
            <w:vAlign w:val="center"/>
          </w:tcPr>
          <w:p w:rsidR="00E57F4D" w:rsidRPr="0083442B" w:rsidRDefault="00E57F4D" w:rsidP="0083442B">
            <w:pPr>
              <w:rPr>
                <w:rFonts w:asciiTheme="minorEastAsia" w:hAnsiTheme="minorEastAsia"/>
                <w:sz w:val="18"/>
                <w:szCs w:val="18"/>
              </w:rPr>
            </w:pPr>
            <w:r w:rsidRPr="0083442B">
              <w:rPr>
                <w:rFonts w:asciiTheme="minorEastAsia" w:hAnsiTheme="minorEastAsia"/>
                <w:sz w:val="18"/>
                <w:szCs w:val="18"/>
              </w:rPr>
              <w:t>100%LEL</w:t>
            </w:r>
          </w:p>
        </w:tc>
        <w:tc>
          <w:tcPr>
            <w:tcW w:w="992" w:type="dxa"/>
            <w:vAlign w:val="center"/>
          </w:tcPr>
          <w:p w:rsidR="00E57F4D" w:rsidRPr="0083442B" w:rsidRDefault="00E57F4D" w:rsidP="0083442B">
            <w:pPr>
              <w:rPr>
                <w:rFonts w:asciiTheme="minorEastAsia" w:hAnsiTheme="minorEastAsia"/>
                <w:sz w:val="18"/>
                <w:szCs w:val="18"/>
              </w:rPr>
            </w:pPr>
            <w:r w:rsidRPr="0083442B"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 w:rsidRPr="0083442B">
              <w:rPr>
                <w:rFonts w:asciiTheme="minorEastAsia" w:hAnsiTheme="minorEastAsia"/>
                <w:sz w:val="18"/>
                <w:szCs w:val="18"/>
              </w:rPr>
              <w:t>5%</w:t>
            </w:r>
          </w:p>
        </w:tc>
        <w:tc>
          <w:tcPr>
            <w:tcW w:w="2100" w:type="dxa"/>
            <w:vAlign w:val="center"/>
          </w:tcPr>
          <w:p w:rsidR="00E57F4D" w:rsidRPr="0083442B" w:rsidRDefault="00E57F4D" w:rsidP="0083442B">
            <w:pPr>
              <w:rPr>
                <w:rFonts w:asciiTheme="minorEastAsia" w:hAnsiTheme="minorEastAsia"/>
                <w:sz w:val="18"/>
                <w:szCs w:val="18"/>
              </w:rPr>
            </w:pPr>
            <w:r w:rsidRPr="0083442B">
              <w:rPr>
                <w:rFonts w:asciiTheme="minorEastAsia" w:hAnsiTheme="minorEastAsia"/>
                <w:sz w:val="18"/>
                <w:szCs w:val="18"/>
              </w:rPr>
              <w:t>CH4/Air</w:t>
            </w:r>
            <w:r w:rsidRPr="0083442B">
              <w:rPr>
                <w:rFonts w:asciiTheme="minorEastAsia" w:hAnsiTheme="minorEastAsia" w:hint="eastAsia"/>
                <w:sz w:val="18"/>
                <w:szCs w:val="18"/>
              </w:rPr>
              <w:t>标准物质</w:t>
            </w:r>
            <w:r w:rsidRPr="0083442B">
              <w:rPr>
                <w:rFonts w:asciiTheme="minorEastAsia" w:hAnsiTheme="minorEastAsia"/>
                <w:sz w:val="18"/>
                <w:szCs w:val="18"/>
              </w:rPr>
              <w:t>/k=2</w:t>
            </w:r>
          </w:p>
        </w:tc>
        <w:tc>
          <w:tcPr>
            <w:tcW w:w="1727" w:type="dxa"/>
            <w:vAlign w:val="center"/>
          </w:tcPr>
          <w:p w:rsidR="00E57F4D" w:rsidRPr="0083442B" w:rsidRDefault="00E57F4D" w:rsidP="0083442B">
            <w:pPr>
              <w:rPr>
                <w:rFonts w:asciiTheme="minorEastAsia" w:hAnsiTheme="minorEastAsia"/>
                <w:sz w:val="18"/>
                <w:szCs w:val="18"/>
              </w:rPr>
            </w:pPr>
            <w:r w:rsidRPr="0083442B">
              <w:rPr>
                <w:rFonts w:asciiTheme="minorEastAsia" w:hAnsiTheme="minorEastAsia" w:cs="宋体" w:hint="eastAsia"/>
                <w:sz w:val="18"/>
                <w:szCs w:val="18"/>
              </w:rPr>
              <w:t>新疆维吾尔自治区计量测试研究</w:t>
            </w:r>
            <w:r w:rsidRPr="0083442B">
              <w:rPr>
                <w:rFonts w:asciiTheme="minorEastAsia" w:hAnsiTheme="minorEastAsia" w:hint="eastAsia"/>
                <w:sz w:val="18"/>
                <w:szCs w:val="18"/>
              </w:rPr>
              <w:t>院</w:t>
            </w:r>
          </w:p>
        </w:tc>
        <w:tc>
          <w:tcPr>
            <w:tcW w:w="1276" w:type="dxa"/>
            <w:vAlign w:val="center"/>
          </w:tcPr>
          <w:p w:rsidR="00E57F4D" w:rsidRPr="0083442B" w:rsidRDefault="00E57F4D" w:rsidP="0083442B">
            <w:pPr>
              <w:rPr>
                <w:rFonts w:asciiTheme="minorEastAsia" w:hAnsiTheme="minorEastAsia"/>
                <w:sz w:val="18"/>
                <w:szCs w:val="18"/>
              </w:rPr>
            </w:pPr>
            <w:r w:rsidRPr="0083442B">
              <w:rPr>
                <w:rFonts w:asciiTheme="minorEastAsia" w:hAnsiTheme="minorEastAsia"/>
                <w:sz w:val="18"/>
                <w:szCs w:val="18"/>
              </w:rPr>
              <w:t>2021</w:t>
            </w:r>
            <w:r w:rsidRPr="0083442B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83442B">
              <w:rPr>
                <w:rFonts w:asciiTheme="minorEastAsia" w:hAnsiTheme="minorEastAsia"/>
                <w:sz w:val="18"/>
                <w:szCs w:val="18"/>
              </w:rPr>
              <w:t>03</w:t>
            </w:r>
            <w:r w:rsidRPr="0083442B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Pr="0083442B">
              <w:rPr>
                <w:rFonts w:asciiTheme="minorEastAsia" w:hAnsiTheme="minorEastAsia"/>
                <w:sz w:val="18"/>
                <w:szCs w:val="18"/>
              </w:rPr>
              <w:t>16</w:t>
            </w:r>
            <w:r w:rsidRPr="0083442B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145" w:type="dxa"/>
            <w:vAlign w:val="center"/>
          </w:tcPr>
          <w:p w:rsidR="00E57F4D" w:rsidRPr="0083442B" w:rsidRDefault="00E57F4D" w:rsidP="0083442B">
            <w:pPr>
              <w:rPr>
                <w:rFonts w:asciiTheme="minorEastAsia" w:hAnsiTheme="minorEastAsia"/>
                <w:sz w:val="18"/>
                <w:szCs w:val="18"/>
              </w:rPr>
            </w:pPr>
            <w:r w:rsidRPr="0083442B">
              <w:rPr>
                <w:rFonts w:asciiTheme="minorEastAsia" w:hAnsiTheme="minorEastAsia" w:hint="eastAsia"/>
                <w:sz w:val="18"/>
                <w:szCs w:val="18"/>
              </w:rPr>
              <w:t>√</w:t>
            </w:r>
          </w:p>
        </w:tc>
      </w:tr>
      <w:tr w:rsidR="0083442B" w:rsidRPr="0083442B" w:rsidTr="0083442B">
        <w:trPr>
          <w:trHeight w:val="568"/>
          <w:jc w:val="center"/>
        </w:trPr>
        <w:tc>
          <w:tcPr>
            <w:tcW w:w="1092" w:type="dxa"/>
            <w:vAlign w:val="center"/>
          </w:tcPr>
          <w:p w:rsidR="0083442B" w:rsidRPr="00204DBE" w:rsidRDefault="0083442B" w:rsidP="0083442B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04DBE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雅克拉末站</w:t>
            </w:r>
          </w:p>
        </w:tc>
        <w:tc>
          <w:tcPr>
            <w:tcW w:w="1176" w:type="dxa"/>
            <w:vAlign w:val="center"/>
          </w:tcPr>
          <w:p w:rsidR="0083442B" w:rsidRPr="00204DBE" w:rsidRDefault="0083442B" w:rsidP="0083442B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04DBE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电子汽车衡</w:t>
            </w:r>
          </w:p>
        </w:tc>
        <w:tc>
          <w:tcPr>
            <w:tcW w:w="887" w:type="dxa"/>
            <w:vAlign w:val="center"/>
          </w:tcPr>
          <w:p w:rsidR="0083442B" w:rsidRPr="0083442B" w:rsidRDefault="0083442B" w:rsidP="0083442B">
            <w:pPr>
              <w:rPr>
                <w:rFonts w:asciiTheme="minorEastAsia" w:hAnsiTheme="minorEastAsia"/>
                <w:sz w:val="18"/>
                <w:szCs w:val="18"/>
              </w:rPr>
            </w:pPr>
            <w:r w:rsidRPr="0083442B">
              <w:rPr>
                <w:rFonts w:asciiTheme="minorEastAsia" w:hAnsiTheme="minorEastAsia" w:hint="eastAsia"/>
                <w:sz w:val="18"/>
                <w:szCs w:val="18"/>
              </w:rPr>
              <w:t>293508</w:t>
            </w:r>
          </w:p>
        </w:tc>
        <w:tc>
          <w:tcPr>
            <w:tcW w:w="992" w:type="dxa"/>
            <w:vAlign w:val="center"/>
          </w:tcPr>
          <w:p w:rsidR="0083442B" w:rsidRPr="0083442B" w:rsidRDefault="0083442B" w:rsidP="0083442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SCS－100</w:t>
            </w:r>
          </w:p>
        </w:tc>
        <w:tc>
          <w:tcPr>
            <w:tcW w:w="992" w:type="dxa"/>
            <w:vAlign w:val="center"/>
          </w:tcPr>
          <w:p w:rsidR="0083442B" w:rsidRPr="0083442B" w:rsidRDefault="0083442B" w:rsidP="0083442B">
            <w:pPr>
              <w:rPr>
                <w:rFonts w:asciiTheme="minorEastAsia" w:hAnsiTheme="minorEastAsia"/>
                <w:sz w:val="18"/>
                <w:szCs w:val="18"/>
              </w:rPr>
            </w:pPr>
            <w:r w:rsidRPr="0083442B">
              <w:rPr>
                <w:rFonts w:asciiTheme="minorEastAsia" w:hAnsiTheme="minorEastAsia"/>
                <w:sz w:val="18"/>
                <w:szCs w:val="18"/>
              </w:rPr>
              <w:t>Ⅲ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级</w:t>
            </w:r>
          </w:p>
        </w:tc>
        <w:tc>
          <w:tcPr>
            <w:tcW w:w="2100" w:type="dxa"/>
            <w:vAlign w:val="center"/>
          </w:tcPr>
          <w:p w:rsidR="0083442B" w:rsidRPr="0083442B" w:rsidRDefault="00937482" w:rsidP="0083442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M1级砝码：10mg</w:t>
            </w:r>
            <w:r w:rsidRPr="00937482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200t</w:t>
            </w:r>
          </w:p>
        </w:tc>
        <w:tc>
          <w:tcPr>
            <w:tcW w:w="1727" w:type="dxa"/>
            <w:vAlign w:val="center"/>
          </w:tcPr>
          <w:p w:rsidR="0083442B" w:rsidRPr="0083442B" w:rsidRDefault="0083442B" w:rsidP="0008114B">
            <w:pPr>
              <w:rPr>
                <w:rFonts w:asciiTheme="minorEastAsia" w:hAnsiTheme="minorEastAsia"/>
                <w:sz w:val="18"/>
                <w:szCs w:val="18"/>
              </w:rPr>
            </w:pPr>
            <w:r w:rsidRPr="0083442B">
              <w:rPr>
                <w:rFonts w:asciiTheme="minorEastAsia" w:hAnsiTheme="minorEastAsia" w:cs="宋体" w:hint="eastAsia"/>
                <w:sz w:val="18"/>
                <w:szCs w:val="18"/>
              </w:rPr>
              <w:t>新疆维吾尔自治区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>库车县质量与</w:t>
            </w:r>
            <w:r w:rsidRPr="0083442B">
              <w:rPr>
                <w:rFonts w:asciiTheme="minorEastAsia" w:hAnsiTheme="minorEastAsia" w:cs="宋体" w:hint="eastAsia"/>
                <w:sz w:val="18"/>
                <w:szCs w:val="18"/>
              </w:rPr>
              <w:t>计量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>检测所</w:t>
            </w:r>
          </w:p>
        </w:tc>
        <w:tc>
          <w:tcPr>
            <w:tcW w:w="1276" w:type="dxa"/>
            <w:vAlign w:val="center"/>
          </w:tcPr>
          <w:p w:rsidR="0083442B" w:rsidRPr="0083442B" w:rsidRDefault="0083442B" w:rsidP="0083442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2021年8月12日</w:t>
            </w:r>
          </w:p>
        </w:tc>
        <w:tc>
          <w:tcPr>
            <w:tcW w:w="1145" w:type="dxa"/>
            <w:vAlign w:val="center"/>
          </w:tcPr>
          <w:p w:rsidR="0083442B" w:rsidRPr="0083442B" w:rsidRDefault="00BF09EB" w:rsidP="0083442B">
            <w:pPr>
              <w:rPr>
                <w:rFonts w:asciiTheme="minorEastAsia" w:hAnsiTheme="minorEastAsia"/>
                <w:sz w:val="18"/>
                <w:szCs w:val="18"/>
              </w:rPr>
            </w:pPr>
            <w:r w:rsidRPr="0083442B">
              <w:rPr>
                <w:rFonts w:asciiTheme="minorEastAsia" w:hAnsiTheme="minorEastAsia" w:hint="eastAsia"/>
                <w:sz w:val="18"/>
                <w:szCs w:val="18"/>
              </w:rPr>
              <w:t>√</w:t>
            </w:r>
          </w:p>
        </w:tc>
      </w:tr>
      <w:tr w:rsidR="00E71EDF" w:rsidRPr="0083442B" w:rsidTr="0083442B">
        <w:trPr>
          <w:trHeight w:val="568"/>
          <w:jc w:val="center"/>
        </w:trPr>
        <w:tc>
          <w:tcPr>
            <w:tcW w:w="1092" w:type="dxa"/>
            <w:vAlign w:val="center"/>
          </w:tcPr>
          <w:p w:rsidR="00E71EDF" w:rsidRPr="00204DBE" w:rsidRDefault="00704C47" w:rsidP="0008114B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库车</w:t>
            </w:r>
            <w:r w:rsidR="00E71EDF" w:rsidRPr="00204DBE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末站</w:t>
            </w:r>
          </w:p>
        </w:tc>
        <w:tc>
          <w:tcPr>
            <w:tcW w:w="1176" w:type="dxa"/>
            <w:vAlign w:val="center"/>
          </w:tcPr>
          <w:p w:rsidR="00E71EDF" w:rsidRPr="00204DBE" w:rsidRDefault="00E71EDF" w:rsidP="0083442B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04DBE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丁字尺</w:t>
            </w:r>
          </w:p>
        </w:tc>
        <w:tc>
          <w:tcPr>
            <w:tcW w:w="887" w:type="dxa"/>
            <w:vAlign w:val="center"/>
          </w:tcPr>
          <w:p w:rsidR="00E71EDF" w:rsidRPr="0083442B" w:rsidRDefault="00E71EDF" w:rsidP="0083442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541</w:t>
            </w:r>
          </w:p>
        </w:tc>
        <w:tc>
          <w:tcPr>
            <w:tcW w:w="992" w:type="dxa"/>
            <w:vAlign w:val="center"/>
          </w:tcPr>
          <w:p w:rsidR="00E71EDF" w:rsidRPr="0083442B" w:rsidRDefault="00E71EDF" w:rsidP="0083442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1200mm</w:t>
            </w:r>
          </w:p>
        </w:tc>
        <w:tc>
          <w:tcPr>
            <w:tcW w:w="992" w:type="dxa"/>
            <w:vAlign w:val="center"/>
          </w:tcPr>
          <w:p w:rsidR="00E71EDF" w:rsidRPr="0083442B" w:rsidRDefault="00E71EDF" w:rsidP="0083442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U＝0.1mm（k＝2）</w:t>
            </w:r>
          </w:p>
        </w:tc>
        <w:tc>
          <w:tcPr>
            <w:tcW w:w="2100" w:type="dxa"/>
            <w:vAlign w:val="center"/>
          </w:tcPr>
          <w:p w:rsidR="00E71EDF" w:rsidRPr="0083442B" w:rsidRDefault="00E71EDF" w:rsidP="0083442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三等金属线纹尺：（0</w:t>
            </w:r>
            <w:r w:rsidRPr="00937482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1000）mm</w:t>
            </w:r>
          </w:p>
        </w:tc>
        <w:tc>
          <w:tcPr>
            <w:tcW w:w="1727" w:type="dxa"/>
            <w:vAlign w:val="center"/>
          </w:tcPr>
          <w:p w:rsidR="00E71EDF" w:rsidRPr="0083442B" w:rsidRDefault="00E71EDF" w:rsidP="0008114B">
            <w:pPr>
              <w:rPr>
                <w:rFonts w:asciiTheme="minorEastAsia" w:hAnsiTheme="minorEastAsia"/>
                <w:sz w:val="18"/>
                <w:szCs w:val="18"/>
              </w:rPr>
            </w:pPr>
            <w:r w:rsidRPr="0083442B">
              <w:rPr>
                <w:rFonts w:asciiTheme="minorEastAsia" w:hAnsiTheme="minorEastAsia" w:cs="宋体" w:hint="eastAsia"/>
                <w:sz w:val="18"/>
                <w:szCs w:val="18"/>
              </w:rPr>
              <w:t>新疆维吾尔自治区计量测试研究</w:t>
            </w:r>
            <w:r w:rsidRPr="0083442B">
              <w:rPr>
                <w:rFonts w:asciiTheme="minorEastAsia" w:hAnsiTheme="minorEastAsia" w:hint="eastAsia"/>
                <w:sz w:val="18"/>
                <w:szCs w:val="18"/>
              </w:rPr>
              <w:t>院</w:t>
            </w:r>
          </w:p>
        </w:tc>
        <w:tc>
          <w:tcPr>
            <w:tcW w:w="1276" w:type="dxa"/>
            <w:vAlign w:val="center"/>
          </w:tcPr>
          <w:p w:rsidR="00E71EDF" w:rsidRPr="0083442B" w:rsidRDefault="00E71EDF" w:rsidP="00704C4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2021年</w:t>
            </w:r>
            <w:r w:rsidR="00704C47">
              <w:rPr>
                <w:rFonts w:asciiTheme="minorEastAsia" w:hAnsiTheme="minorEastAsia" w:hint="eastAsia"/>
                <w:sz w:val="18"/>
                <w:szCs w:val="18"/>
              </w:rPr>
              <w:t>7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704C47">
              <w:rPr>
                <w:rFonts w:asciiTheme="minorEastAsia" w:hAnsiTheme="minorEastAsia" w:hint="eastAsia"/>
                <w:sz w:val="18"/>
                <w:szCs w:val="18"/>
              </w:rPr>
              <w:t>7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145" w:type="dxa"/>
            <w:vAlign w:val="center"/>
          </w:tcPr>
          <w:p w:rsidR="00E71EDF" w:rsidRPr="0083442B" w:rsidRDefault="00BF09EB" w:rsidP="0083442B">
            <w:pPr>
              <w:rPr>
                <w:rFonts w:asciiTheme="minorEastAsia" w:hAnsiTheme="minorEastAsia"/>
                <w:sz w:val="18"/>
                <w:szCs w:val="18"/>
              </w:rPr>
            </w:pPr>
            <w:r w:rsidRPr="0083442B">
              <w:rPr>
                <w:rFonts w:asciiTheme="minorEastAsia" w:hAnsiTheme="minorEastAsia" w:hint="eastAsia"/>
                <w:sz w:val="18"/>
                <w:szCs w:val="18"/>
              </w:rPr>
              <w:t>√</w:t>
            </w:r>
          </w:p>
        </w:tc>
      </w:tr>
      <w:tr w:rsidR="00E71EDF" w:rsidRPr="0083442B" w:rsidTr="0008114B">
        <w:trPr>
          <w:trHeight w:val="568"/>
          <w:jc w:val="center"/>
        </w:trPr>
        <w:tc>
          <w:tcPr>
            <w:tcW w:w="1092" w:type="dxa"/>
            <w:vAlign w:val="center"/>
          </w:tcPr>
          <w:p w:rsidR="00E71EDF" w:rsidRPr="00204DBE" w:rsidRDefault="00E71EDF" w:rsidP="0008114B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04DBE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雅克拉末站</w:t>
            </w:r>
          </w:p>
        </w:tc>
        <w:tc>
          <w:tcPr>
            <w:tcW w:w="1176" w:type="dxa"/>
            <w:vAlign w:val="center"/>
          </w:tcPr>
          <w:p w:rsidR="00E71EDF" w:rsidRPr="00204DBE" w:rsidRDefault="00E71EDF" w:rsidP="0008114B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04DBE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质量流量计</w:t>
            </w:r>
          </w:p>
        </w:tc>
        <w:tc>
          <w:tcPr>
            <w:tcW w:w="887" w:type="dxa"/>
            <w:vAlign w:val="center"/>
          </w:tcPr>
          <w:p w:rsidR="00E71EDF" w:rsidRPr="0083442B" w:rsidRDefault="00E71EDF" w:rsidP="0008114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G190000008803718</w:t>
            </w:r>
          </w:p>
        </w:tc>
        <w:tc>
          <w:tcPr>
            <w:tcW w:w="992" w:type="dxa"/>
            <w:vAlign w:val="center"/>
          </w:tcPr>
          <w:p w:rsidR="00E71EDF" w:rsidRPr="0083442B" w:rsidRDefault="00E71EDF" w:rsidP="0008114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OPTIMASS 2400C S150</w:t>
            </w:r>
          </w:p>
        </w:tc>
        <w:tc>
          <w:tcPr>
            <w:tcW w:w="992" w:type="dxa"/>
            <w:vAlign w:val="center"/>
          </w:tcPr>
          <w:p w:rsidR="00E71EDF" w:rsidRPr="0083442B" w:rsidRDefault="00E71EDF" w:rsidP="0008114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0.5级</w:t>
            </w:r>
          </w:p>
        </w:tc>
        <w:tc>
          <w:tcPr>
            <w:tcW w:w="2100" w:type="dxa"/>
            <w:vAlign w:val="center"/>
          </w:tcPr>
          <w:p w:rsidR="00E71EDF" w:rsidRPr="0083442B" w:rsidRDefault="00E71EDF" w:rsidP="00E71ED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静态质量法水流量标准装置：（0.01</w:t>
            </w:r>
            <w:r w:rsidRPr="00937482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2200）t/h，U＝0.05%</w:t>
            </w:r>
            <w:r w:rsidR="00BF09EB">
              <w:rPr>
                <w:rFonts w:asciiTheme="minorEastAsia" w:hAnsiTheme="minorEastAsia" w:hint="eastAsia"/>
                <w:sz w:val="18"/>
                <w:szCs w:val="18"/>
              </w:rPr>
              <w:t>（k＝2）</w:t>
            </w:r>
          </w:p>
        </w:tc>
        <w:tc>
          <w:tcPr>
            <w:tcW w:w="1727" w:type="dxa"/>
            <w:vAlign w:val="center"/>
          </w:tcPr>
          <w:p w:rsidR="00E71EDF" w:rsidRPr="0083442B" w:rsidRDefault="00E71EDF" w:rsidP="0008114B">
            <w:pPr>
              <w:rPr>
                <w:rFonts w:asciiTheme="minorEastAsia" w:hAnsiTheme="minorEastAsia"/>
                <w:sz w:val="18"/>
                <w:szCs w:val="18"/>
              </w:rPr>
            </w:pPr>
            <w:r w:rsidRPr="0083442B">
              <w:rPr>
                <w:rFonts w:asciiTheme="minorEastAsia" w:hAnsiTheme="minorEastAsia" w:cs="宋体" w:hint="eastAsia"/>
                <w:sz w:val="18"/>
                <w:szCs w:val="18"/>
              </w:rPr>
              <w:t>新疆维吾尔自治区计量测试研究</w:t>
            </w:r>
            <w:r w:rsidRPr="0083442B">
              <w:rPr>
                <w:rFonts w:asciiTheme="minorEastAsia" w:hAnsiTheme="minorEastAsia" w:hint="eastAsia"/>
                <w:sz w:val="18"/>
                <w:szCs w:val="18"/>
              </w:rPr>
              <w:t>院</w:t>
            </w:r>
          </w:p>
        </w:tc>
        <w:tc>
          <w:tcPr>
            <w:tcW w:w="1276" w:type="dxa"/>
            <w:vAlign w:val="center"/>
          </w:tcPr>
          <w:p w:rsidR="00E71EDF" w:rsidRPr="0083442B" w:rsidRDefault="00E71EDF" w:rsidP="00E71ED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2021年8月30日</w:t>
            </w:r>
          </w:p>
        </w:tc>
        <w:tc>
          <w:tcPr>
            <w:tcW w:w="1145" w:type="dxa"/>
            <w:vAlign w:val="center"/>
          </w:tcPr>
          <w:p w:rsidR="00E71EDF" w:rsidRPr="0083442B" w:rsidRDefault="00BF09EB" w:rsidP="0008114B">
            <w:pPr>
              <w:rPr>
                <w:rFonts w:asciiTheme="minorEastAsia" w:hAnsiTheme="minorEastAsia"/>
                <w:sz w:val="18"/>
                <w:szCs w:val="18"/>
              </w:rPr>
            </w:pPr>
            <w:r w:rsidRPr="0083442B">
              <w:rPr>
                <w:rFonts w:asciiTheme="minorEastAsia" w:hAnsiTheme="minorEastAsia" w:hint="eastAsia"/>
                <w:sz w:val="18"/>
                <w:szCs w:val="18"/>
              </w:rPr>
              <w:t>√</w:t>
            </w:r>
          </w:p>
        </w:tc>
      </w:tr>
      <w:tr w:rsidR="00BF09EB" w:rsidRPr="0083442B" w:rsidTr="0008114B">
        <w:trPr>
          <w:trHeight w:val="568"/>
          <w:jc w:val="center"/>
        </w:trPr>
        <w:tc>
          <w:tcPr>
            <w:tcW w:w="1092" w:type="dxa"/>
            <w:vAlign w:val="center"/>
          </w:tcPr>
          <w:p w:rsidR="00BF09EB" w:rsidRPr="00204DBE" w:rsidRDefault="00BF09EB" w:rsidP="0008114B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04DBE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输气首站</w:t>
            </w:r>
          </w:p>
        </w:tc>
        <w:tc>
          <w:tcPr>
            <w:tcW w:w="1176" w:type="dxa"/>
            <w:vAlign w:val="center"/>
          </w:tcPr>
          <w:p w:rsidR="00BF09EB" w:rsidRPr="00204DBE" w:rsidRDefault="00BF09EB" w:rsidP="0008114B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04DBE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气体旋进旋涡流量计</w:t>
            </w:r>
          </w:p>
        </w:tc>
        <w:tc>
          <w:tcPr>
            <w:tcW w:w="887" w:type="dxa"/>
            <w:vAlign w:val="center"/>
          </w:tcPr>
          <w:p w:rsidR="00BF09EB" w:rsidRPr="0083442B" w:rsidRDefault="00BF09EB" w:rsidP="0008114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X19718</w:t>
            </w:r>
          </w:p>
        </w:tc>
        <w:tc>
          <w:tcPr>
            <w:tcW w:w="992" w:type="dxa"/>
            <w:vAlign w:val="center"/>
          </w:tcPr>
          <w:p w:rsidR="00BF09EB" w:rsidRPr="0083442B" w:rsidRDefault="00BF09EB" w:rsidP="0008114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PN40 DN150</w:t>
            </w:r>
          </w:p>
        </w:tc>
        <w:tc>
          <w:tcPr>
            <w:tcW w:w="992" w:type="dxa"/>
            <w:vAlign w:val="center"/>
          </w:tcPr>
          <w:p w:rsidR="00BF09EB" w:rsidRPr="0083442B" w:rsidRDefault="00BF09EB" w:rsidP="0008114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1.0级</w:t>
            </w:r>
          </w:p>
        </w:tc>
        <w:tc>
          <w:tcPr>
            <w:tcW w:w="2100" w:type="dxa"/>
            <w:vAlign w:val="center"/>
          </w:tcPr>
          <w:p w:rsidR="00BF09EB" w:rsidRPr="0083442B" w:rsidRDefault="00BF09EB" w:rsidP="0008114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临界流文丘利喷嘴法气体流量标准装置：（1</w:t>
            </w:r>
            <w:r w:rsidRPr="00937482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15000）m3/h，U＝0.25%（k＝2）</w:t>
            </w:r>
          </w:p>
        </w:tc>
        <w:tc>
          <w:tcPr>
            <w:tcW w:w="1727" w:type="dxa"/>
            <w:vAlign w:val="center"/>
          </w:tcPr>
          <w:p w:rsidR="00BF09EB" w:rsidRPr="0083442B" w:rsidRDefault="00BF09EB" w:rsidP="0008114B">
            <w:pPr>
              <w:rPr>
                <w:rFonts w:asciiTheme="minorEastAsia" w:hAnsiTheme="minorEastAsia"/>
                <w:sz w:val="18"/>
                <w:szCs w:val="18"/>
              </w:rPr>
            </w:pPr>
            <w:r w:rsidRPr="0083442B">
              <w:rPr>
                <w:rFonts w:asciiTheme="minorEastAsia" w:hAnsiTheme="minorEastAsia" w:cs="宋体" w:hint="eastAsia"/>
                <w:sz w:val="18"/>
                <w:szCs w:val="18"/>
              </w:rPr>
              <w:t>新疆维吾尔自治区计量测试研究</w:t>
            </w:r>
            <w:r w:rsidRPr="0083442B">
              <w:rPr>
                <w:rFonts w:asciiTheme="minorEastAsia" w:hAnsiTheme="minorEastAsia" w:hint="eastAsia"/>
                <w:sz w:val="18"/>
                <w:szCs w:val="18"/>
              </w:rPr>
              <w:t>院</w:t>
            </w:r>
          </w:p>
        </w:tc>
        <w:tc>
          <w:tcPr>
            <w:tcW w:w="1276" w:type="dxa"/>
            <w:vAlign w:val="center"/>
          </w:tcPr>
          <w:p w:rsidR="00BF09EB" w:rsidRPr="0083442B" w:rsidRDefault="00BF09EB" w:rsidP="0008114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2021年8月27日</w:t>
            </w:r>
          </w:p>
        </w:tc>
        <w:tc>
          <w:tcPr>
            <w:tcW w:w="1145" w:type="dxa"/>
            <w:vAlign w:val="center"/>
          </w:tcPr>
          <w:p w:rsidR="00BF09EB" w:rsidRPr="0083442B" w:rsidRDefault="00BF09EB" w:rsidP="0008114B">
            <w:pPr>
              <w:rPr>
                <w:rFonts w:asciiTheme="minorEastAsia" w:hAnsiTheme="minorEastAsia"/>
                <w:sz w:val="18"/>
                <w:szCs w:val="18"/>
              </w:rPr>
            </w:pPr>
            <w:r w:rsidRPr="0083442B">
              <w:rPr>
                <w:rFonts w:asciiTheme="minorEastAsia" w:hAnsiTheme="minorEastAsia" w:hint="eastAsia"/>
                <w:sz w:val="18"/>
                <w:szCs w:val="18"/>
              </w:rPr>
              <w:t>√</w:t>
            </w:r>
          </w:p>
        </w:tc>
      </w:tr>
      <w:tr w:rsidR="008617B5" w:rsidRPr="0083442B" w:rsidTr="0083442B">
        <w:trPr>
          <w:trHeight w:val="568"/>
          <w:jc w:val="center"/>
        </w:trPr>
        <w:tc>
          <w:tcPr>
            <w:tcW w:w="1092" w:type="dxa"/>
            <w:vAlign w:val="center"/>
          </w:tcPr>
          <w:p w:rsidR="008617B5" w:rsidRPr="008617B5" w:rsidRDefault="008617B5" w:rsidP="0083442B">
            <w:pPr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  <w:r w:rsidRPr="008617B5">
              <w:rPr>
                <w:rFonts w:asciiTheme="minorEastAsia" w:hAnsiTheme="minorEastAsia" w:hint="eastAsia"/>
                <w:sz w:val="18"/>
                <w:szCs w:val="18"/>
              </w:rPr>
              <w:t>库车末站</w:t>
            </w:r>
          </w:p>
        </w:tc>
        <w:tc>
          <w:tcPr>
            <w:tcW w:w="1176" w:type="dxa"/>
            <w:vAlign w:val="center"/>
          </w:tcPr>
          <w:p w:rsidR="008617B5" w:rsidRPr="00204DBE" w:rsidRDefault="008617B5" w:rsidP="002E65A7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04DBE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丁字尺</w:t>
            </w:r>
          </w:p>
        </w:tc>
        <w:tc>
          <w:tcPr>
            <w:tcW w:w="887" w:type="dxa"/>
            <w:vAlign w:val="center"/>
          </w:tcPr>
          <w:p w:rsidR="008617B5" w:rsidRPr="0083442B" w:rsidRDefault="008617B5" w:rsidP="002E65A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077</w:t>
            </w:r>
          </w:p>
        </w:tc>
        <w:tc>
          <w:tcPr>
            <w:tcW w:w="992" w:type="dxa"/>
            <w:vAlign w:val="center"/>
          </w:tcPr>
          <w:p w:rsidR="008617B5" w:rsidRPr="0083442B" w:rsidRDefault="008617B5" w:rsidP="002E65A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1200mm</w:t>
            </w:r>
          </w:p>
        </w:tc>
        <w:tc>
          <w:tcPr>
            <w:tcW w:w="992" w:type="dxa"/>
            <w:vAlign w:val="center"/>
          </w:tcPr>
          <w:p w:rsidR="008617B5" w:rsidRPr="0083442B" w:rsidRDefault="008617B5" w:rsidP="002E65A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U＝0.1mm（k＝2）</w:t>
            </w:r>
          </w:p>
        </w:tc>
        <w:tc>
          <w:tcPr>
            <w:tcW w:w="2100" w:type="dxa"/>
            <w:vAlign w:val="center"/>
          </w:tcPr>
          <w:p w:rsidR="008617B5" w:rsidRPr="0083442B" w:rsidRDefault="008617B5" w:rsidP="002E65A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三等金属线纹尺：（0</w:t>
            </w:r>
            <w:r w:rsidRPr="00937482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1000）mm</w:t>
            </w:r>
          </w:p>
        </w:tc>
        <w:tc>
          <w:tcPr>
            <w:tcW w:w="1727" w:type="dxa"/>
            <w:vAlign w:val="center"/>
          </w:tcPr>
          <w:p w:rsidR="008617B5" w:rsidRPr="0083442B" w:rsidRDefault="008617B5" w:rsidP="002E65A7">
            <w:pPr>
              <w:rPr>
                <w:rFonts w:asciiTheme="minorEastAsia" w:hAnsiTheme="minorEastAsia"/>
                <w:sz w:val="18"/>
                <w:szCs w:val="18"/>
              </w:rPr>
            </w:pPr>
            <w:r w:rsidRPr="0083442B">
              <w:rPr>
                <w:rFonts w:asciiTheme="minorEastAsia" w:hAnsiTheme="minorEastAsia" w:cs="宋体" w:hint="eastAsia"/>
                <w:sz w:val="18"/>
                <w:szCs w:val="18"/>
              </w:rPr>
              <w:t>新疆维吾尔自治区计量测试研究</w:t>
            </w:r>
            <w:r w:rsidRPr="0083442B">
              <w:rPr>
                <w:rFonts w:asciiTheme="minorEastAsia" w:hAnsiTheme="minorEastAsia" w:hint="eastAsia"/>
                <w:sz w:val="18"/>
                <w:szCs w:val="18"/>
              </w:rPr>
              <w:t>院</w:t>
            </w:r>
          </w:p>
        </w:tc>
        <w:tc>
          <w:tcPr>
            <w:tcW w:w="1276" w:type="dxa"/>
            <w:vAlign w:val="center"/>
          </w:tcPr>
          <w:p w:rsidR="008617B5" w:rsidRPr="0083442B" w:rsidRDefault="008617B5" w:rsidP="008617B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2021年7月7日</w:t>
            </w:r>
          </w:p>
        </w:tc>
        <w:tc>
          <w:tcPr>
            <w:tcW w:w="1145" w:type="dxa"/>
            <w:vAlign w:val="center"/>
          </w:tcPr>
          <w:p w:rsidR="008617B5" w:rsidRPr="0083442B" w:rsidRDefault="008617B5" w:rsidP="002E65A7">
            <w:pPr>
              <w:rPr>
                <w:rFonts w:asciiTheme="minorEastAsia" w:hAnsiTheme="minorEastAsia"/>
                <w:sz w:val="18"/>
                <w:szCs w:val="18"/>
              </w:rPr>
            </w:pPr>
            <w:r w:rsidRPr="0083442B">
              <w:rPr>
                <w:rFonts w:asciiTheme="minorEastAsia" w:hAnsiTheme="minorEastAsia" w:hint="eastAsia"/>
                <w:sz w:val="18"/>
                <w:szCs w:val="18"/>
              </w:rPr>
              <w:t>√</w:t>
            </w:r>
          </w:p>
        </w:tc>
      </w:tr>
      <w:tr w:rsidR="008617B5" w:rsidRPr="0083442B" w:rsidTr="0083442B">
        <w:trPr>
          <w:trHeight w:val="568"/>
          <w:jc w:val="center"/>
        </w:trPr>
        <w:tc>
          <w:tcPr>
            <w:tcW w:w="1092" w:type="dxa"/>
            <w:vAlign w:val="center"/>
          </w:tcPr>
          <w:p w:rsidR="008617B5" w:rsidRPr="0083442B" w:rsidRDefault="008617B5" w:rsidP="0083442B">
            <w:pPr>
              <w:rPr>
                <w:rFonts w:asciiTheme="minorEastAsia" w:hAnsiTheme="minorEastAsia"/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:rsidR="008617B5" w:rsidRPr="0083442B" w:rsidRDefault="008617B5" w:rsidP="0083442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:rsidR="008617B5" w:rsidRPr="0083442B" w:rsidRDefault="008617B5" w:rsidP="0083442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617B5" w:rsidRPr="0083442B" w:rsidRDefault="008617B5" w:rsidP="0083442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617B5" w:rsidRPr="0083442B" w:rsidRDefault="008617B5" w:rsidP="0083442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8617B5" w:rsidRPr="0083442B" w:rsidRDefault="008617B5" w:rsidP="0083442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:rsidR="008617B5" w:rsidRPr="0083442B" w:rsidRDefault="008617B5" w:rsidP="0083442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617B5" w:rsidRPr="0083442B" w:rsidRDefault="008617B5" w:rsidP="0083442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5" w:type="dxa"/>
            <w:vAlign w:val="center"/>
          </w:tcPr>
          <w:p w:rsidR="008617B5" w:rsidRPr="0083442B" w:rsidRDefault="008617B5" w:rsidP="0083442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617B5" w:rsidRPr="0083442B" w:rsidTr="0083442B">
        <w:trPr>
          <w:trHeight w:val="568"/>
          <w:jc w:val="center"/>
        </w:trPr>
        <w:tc>
          <w:tcPr>
            <w:tcW w:w="1092" w:type="dxa"/>
            <w:vAlign w:val="center"/>
          </w:tcPr>
          <w:p w:rsidR="008617B5" w:rsidRPr="0083442B" w:rsidRDefault="008617B5" w:rsidP="0083442B">
            <w:pPr>
              <w:rPr>
                <w:rFonts w:asciiTheme="minorEastAsia" w:hAnsiTheme="minorEastAsia"/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:rsidR="008617B5" w:rsidRPr="0083442B" w:rsidRDefault="008617B5" w:rsidP="0083442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:rsidR="008617B5" w:rsidRPr="0083442B" w:rsidRDefault="008617B5" w:rsidP="0083442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617B5" w:rsidRPr="0083442B" w:rsidRDefault="008617B5" w:rsidP="0083442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617B5" w:rsidRPr="0083442B" w:rsidRDefault="008617B5" w:rsidP="0083442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8617B5" w:rsidRPr="0083442B" w:rsidRDefault="008617B5" w:rsidP="0083442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:rsidR="008617B5" w:rsidRPr="0083442B" w:rsidRDefault="008617B5" w:rsidP="0083442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617B5" w:rsidRPr="0083442B" w:rsidRDefault="008617B5" w:rsidP="0083442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5" w:type="dxa"/>
            <w:vAlign w:val="center"/>
          </w:tcPr>
          <w:p w:rsidR="008617B5" w:rsidRPr="0083442B" w:rsidRDefault="008617B5" w:rsidP="0083442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617B5" w:rsidRPr="0083442B" w:rsidTr="0083442B">
        <w:trPr>
          <w:trHeight w:val="568"/>
          <w:jc w:val="center"/>
        </w:trPr>
        <w:tc>
          <w:tcPr>
            <w:tcW w:w="1092" w:type="dxa"/>
            <w:vAlign w:val="center"/>
          </w:tcPr>
          <w:p w:rsidR="008617B5" w:rsidRPr="0083442B" w:rsidRDefault="008617B5" w:rsidP="0083442B">
            <w:pPr>
              <w:rPr>
                <w:rFonts w:asciiTheme="minorEastAsia" w:hAnsiTheme="minorEastAsia"/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:rsidR="008617B5" w:rsidRPr="0083442B" w:rsidRDefault="008617B5" w:rsidP="0083442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:rsidR="008617B5" w:rsidRPr="0083442B" w:rsidRDefault="008617B5" w:rsidP="0083442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617B5" w:rsidRPr="0083442B" w:rsidRDefault="008617B5" w:rsidP="0083442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617B5" w:rsidRPr="0083442B" w:rsidRDefault="008617B5" w:rsidP="0083442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8617B5" w:rsidRPr="0083442B" w:rsidRDefault="008617B5" w:rsidP="0083442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:rsidR="008617B5" w:rsidRPr="0083442B" w:rsidRDefault="008617B5" w:rsidP="0083442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617B5" w:rsidRPr="0083442B" w:rsidRDefault="008617B5" w:rsidP="0083442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5" w:type="dxa"/>
            <w:vAlign w:val="center"/>
          </w:tcPr>
          <w:p w:rsidR="008617B5" w:rsidRPr="0083442B" w:rsidRDefault="008617B5" w:rsidP="0083442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617B5" w:rsidRPr="0083442B" w:rsidTr="0083442B">
        <w:trPr>
          <w:trHeight w:val="2090"/>
          <w:jc w:val="center"/>
        </w:trPr>
        <w:tc>
          <w:tcPr>
            <w:tcW w:w="11387" w:type="dxa"/>
            <w:gridSpan w:val="9"/>
            <w:vAlign w:val="center"/>
          </w:tcPr>
          <w:p w:rsidR="008617B5" w:rsidRPr="0083442B" w:rsidRDefault="008617B5" w:rsidP="0083442B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83442B">
              <w:rPr>
                <w:rFonts w:asciiTheme="minorEastAsia" w:hAnsiTheme="minorEastAsia" w:cs="Times New Roman" w:hint="eastAsia"/>
                <w:sz w:val="18"/>
                <w:szCs w:val="18"/>
              </w:rPr>
              <w:t>审核综合意見：</w:t>
            </w:r>
          </w:p>
          <w:p w:rsidR="008617B5" w:rsidRPr="0083442B" w:rsidRDefault="008617B5" w:rsidP="0083442B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83442B">
              <w:rPr>
                <w:rFonts w:asciiTheme="minorEastAsia" w:hAnsiTheme="minorEastAsia" w:cs="Times New Roman" w:hint="eastAsia"/>
                <w:sz w:val="18"/>
                <w:szCs w:val="18"/>
              </w:rPr>
              <w:t>（</w:t>
            </w:r>
            <w:r w:rsidRPr="0083442B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抽查</w:t>
            </w:r>
            <w:r w:rsidRPr="0083442B">
              <w:rPr>
                <w:rFonts w:asciiTheme="minorEastAsia" w:hAnsiTheme="minorEastAsia" w:cs="Times New Roman" w:hint="eastAsia"/>
                <w:sz w:val="18"/>
                <w:szCs w:val="18"/>
              </w:rPr>
              <w:t>有效文件、溯源原始记录、证书报告，进行评价，说明理由 ）</w:t>
            </w:r>
          </w:p>
          <w:p w:rsidR="008617B5" w:rsidRDefault="008617B5" w:rsidP="00204DBE">
            <w:pPr>
              <w:widowControl/>
              <w:ind w:firstLineChars="200" w:firstLine="360"/>
              <w:jc w:val="left"/>
              <w:rPr>
                <w:rFonts w:asciiTheme="minorEastAsia" w:hAnsiTheme="minorEastAsia" w:cs="宋体"/>
                <w:color w:val="0000FF"/>
                <w:kern w:val="0"/>
                <w:sz w:val="18"/>
                <w:szCs w:val="18"/>
              </w:rPr>
            </w:pPr>
          </w:p>
          <w:p w:rsidR="008617B5" w:rsidRPr="00487026" w:rsidRDefault="008617B5" w:rsidP="00204DBE">
            <w:pPr>
              <w:widowControl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企业已建立《量值溯源管理控制程序》、《外部供方管理控制程序》</w:t>
            </w:r>
            <w:r w:rsidRPr="00487026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对</w:t>
            </w:r>
            <w:r w:rsidRPr="00487026">
              <w:rPr>
                <w:rFonts w:ascii="Times New Roman" w:eastAsia="宋体" w:hAnsi="Times New Roman" w:cs="Times New Roman" w:hint="eastAsia"/>
                <w:szCs w:val="21"/>
              </w:rPr>
              <w:t>溯源管理和外部供方管理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</w:t>
            </w:r>
            <w:r w:rsidRPr="00487026">
              <w:rPr>
                <w:rFonts w:ascii="Times New Roman" w:eastAsia="宋体" w:hAnsi="Times New Roman" w:cs="Times New Roman" w:hint="eastAsia"/>
                <w:szCs w:val="21"/>
              </w:rPr>
              <w:t>明确规定，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企业测量设备</w:t>
            </w:r>
            <w:r w:rsidRPr="00487026">
              <w:rPr>
                <w:rFonts w:ascii="Times New Roman" w:eastAsia="宋体" w:hAnsi="Times New Roman" w:cs="Times New Roman" w:hint="eastAsia"/>
                <w:szCs w:val="21"/>
              </w:rPr>
              <w:t>委托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给</w:t>
            </w:r>
            <w:r w:rsidRPr="00204DBE">
              <w:rPr>
                <w:rFonts w:ascii="Times New Roman" w:eastAsia="宋体" w:hAnsi="Times New Roman" w:cs="Times New Roman" w:hint="eastAsia"/>
                <w:szCs w:val="21"/>
              </w:rPr>
              <w:t>新疆维吾尔自治区计量测试研究院、新疆维吾尔自治区库车县质量与计量检测所</w:t>
            </w:r>
            <w:r w:rsidR="00891C18">
              <w:rPr>
                <w:rFonts w:ascii="Times New Roman" w:eastAsia="宋体" w:hAnsi="Times New Roman" w:cs="Times New Roman" w:hint="eastAsia"/>
                <w:szCs w:val="21"/>
              </w:rPr>
              <w:t>等具备资质的机构</w:t>
            </w:r>
            <w:r w:rsidRPr="00204DBE">
              <w:rPr>
                <w:rFonts w:ascii="Times New Roman" w:eastAsia="宋体" w:hAnsi="Times New Roman" w:cs="Times New Roman" w:hint="eastAsia"/>
                <w:szCs w:val="21"/>
              </w:rPr>
              <w:t>进行</w:t>
            </w:r>
            <w:r w:rsidRPr="00487026">
              <w:rPr>
                <w:rFonts w:ascii="Times New Roman" w:eastAsia="宋体" w:hAnsi="Times New Roman" w:cs="Times New Roman" w:hint="eastAsia"/>
                <w:szCs w:val="21"/>
              </w:rPr>
              <w:t>检定</w:t>
            </w:r>
            <w:r w:rsidRPr="00487026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校准。</w:t>
            </w:r>
            <w:r w:rsidRPr="00487026">
              <w:rPr>
                <w:rFonts w:ascii="Times New Roman" w:eastAsia="宋体" w:hAnsi="Times New Roman" w:cs="Times New Roman" w:hint="eastAsia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企业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台测量设备</w:t>
            </w:r>
            <w:r w:rsidR="00891C18">
              <w:rPr>
                <w:rFonts w:ascii="Times New Roman" w:eastAsia="宋体" w:hAnsi="Times New Roman" w:cs="Times New Roman" w:hint="eastAsia"/>
                <w:szCs w:val="21"/>
              </w:rPr>
              <w:t>的溯源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情况，符合溯源</w:t>
            </w:r>
            <w:r w:rsidRPr="00487026">
              <w:rPr>
                <w:rFonts w:ascii="Times New Roman" w:eastAsia="宋体" w:hAnsi="Times New Roman" w:cs="Times New Roman" w:hint="eastAsia"/>
                <w:szCs w:val="21"/>
              </w:rPr>
              <w:t>要求。</w:t>
            </w:r>
          </w:p>
          <w:p w:rsidR="008617B5" w:rsidRPr="00204DBE" w:rsidRDefault="008617B5" w:rsidP="0083442B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8617B5" w:rsidRPr="0083442B" w:rsidTr="0083442B">
        <w:trPr>
          <w:trHeight w:val="557"/>
          <w:jc w:val="center"/>
        </w:trPr>
        <w:tc>
          <w:tcPr>
            <w:tcW w:w="11387" w:type="dxa"/>
            <w:gridSpan w:val="9"/>
            <w:vAlign w:val="center"/>
          </w:tcPr>
          <w:p w:rsidR="008617B5" w:rsidRPr="0083442B" w:rsidRDefault="004D79FA" w:rsidP="0083442B">
            <w:pPr>
              <w:spacing w:line="360" w:lineRule="auto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noProof/>
                <w:sz w:val="18"/>
                <w:szCs w:val="1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3401695</wp:posOffset>
                  </wp:positionH>
                  <wp:positionV relativeFrom="paragraph">
                    <wp:posOffset>185420</wp:posOffset>
                  </wp:positionV>
                  <wp:extent cx="1085850" cy="420370"/>
                  <wp:effectExtent l="1905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20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617B5" w:rsidRPr="0083442B">
              <w:rPr>
                <w:rFonts w:asciiTheme="minorEastAsia" w:hAnsiTheme="minorEastAsia" w:cs="Times New Roman" w:hint="eastAsia"/>
                <w:noProof/>
                <w:sz w:val="18"/>
                <w:szCs w:val="1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843966</wp:posOffset>
                  </wp:positionH>
                  <wp:positionV relativeFrom="paragraph">
                    <wp:posOffset>267716</wp:posOffset>
                  </wp:positionV>
                  <wp:extent cx="620217" cy="351130"/>
                  <wp:effectExtent l="0" t="0" r="8433" b="0"/>
                  <wp:wrapNone/>
                  <wp:docPr id="2" name="图片 2" descr="微信图片_20211016124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微信图片_202110161246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969591"/>
                              </a:clrFrom>
                              <a:clrTo>
                                <a:srgbClr val="969591">
                                  <a:alpha val="0"/>
                                </a:srgbClr>
                              </a:clrTo>
                            </a:clrChange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217" cy="3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617B5" w:rsidRPr="0083442B">
              <w:rPr>
                <w:rFonts w:asciiTheme="minorEastAsia" w:hAnsiTheme="minorEastAsia" w:cs="Times New Roman" w:hint="eastAsia"/>
                <w:sz w:val="18"/>
                <w:szCs w:val="18"/>
              </w:rPr>
              <w:t>审核日期：2021年11月2日</w:t>
            </w:r>
            <w:r w:rsidR="003B50BF" w:rsidRPr="003B50BF">
              <w:rPr>
                <w:rFonts w:asciiTheme="minorEastAsia" w:hAnsiTheme="minorEastAsia" w:cs="Times New Roman"/>
                <w:sz w:val="18"/>
                <w:szCs w:val="18"/>
              </w:rPr>
              <w:t>～</w:t>
            </w:r>
            <w:r w:rsidR="008617B5" w:rsidRPr="0083442B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11月3日 </w:t>
            </w:r>
          </w:p>
          <w:p w:rsidR="008617B5" w:rsidRPr="0083442B" w:rsidRDefault="008617B5" w:rsidP="0083442B">
            <w:pPr>
              <w:spacing w:line="360" w:lineRule="auto"/>
              <w:rPr>
                <w:rFonts w:asciiTheme="minorEastAsia" w:hAnsiTheme="minorEastAsia" w:cs="Times New Roman"/>
                <w:color w:val="0000FF"/>
                <w:sz w:val="18"/>
                <w:szCs w:val="18"/>
              </w:rPr>
            </w:pPr>
            <w:r w:rsidRPr="0083442B">
              <w:rPr>
                <w:rFonts w:asciiTheme="minorEastAsia" w:hAnsiTheme="minorEastAsia" w:cs="Times New Roman" w:hint="eastAsia"/>
                <w:sz w:val="18"/>
                <w:szCs w:val="18"/>
              </w:rPr>
              <w:t>审核员签字：                               部门代表签字：</w:t>
            </w:r>
            <w:r w:rsidRPr="0083442B">
              <w:rPr>
                <w:rFonts w:asciiTheme="minorEastAsia" w:hAnsiTheme="minorEastAsia" w:cs="Times New Roman"/>
                <w:color w:val="0000FF"/>
                <w:sz w:val="18"/>
                <w:szCs w:val="18"/>
              </w:rPr>
              <w:t xml:space="preserve"> </w:t>
            </w:r>
          </w:p>
          <w:p w:rsidR="008617B5" w:rsidRPr="0083442B" w:rsidRDefault="008617B5" w:rsidP="0083442B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</w:tbl>
    <w:p w:rsidR="008D0A78" w:rsidRDefault="00170434" w:rsidP="005C0A53"/>
    <w:p w:rsidR="008F6BDE" w:rsidRPr="0044252F" w:rsidRDefault="00C0565B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434" w:rsidRDefault="00170434" w:rsidP="008535AA">
      <w:r>
        <w:separator/>
      </w:r>
    </w:p>
  </w:endnote>
  <w:endnote w:type="continuationSeparator" w:id="0">
    <w:p w:rsidR="00170434" w:rsidRDefault="00170434" w:rsidP="00853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170434" w:rsidP="005C0A53">
    <w:pPr>
      <w:pStyle w:val="a4"/>
    </w:pPr>
  </w:p>
  <w:p w:rsidR="008F6BDE" w:rsidRDefault="0017043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434" w:rsidRDefault="00170434" w:rsidP="008535AA">
      <w:r>
        <w:separator/>
      </w:r>
    </w:p>
  </w:footnote>
  <w:footnote w:type="continuationSeparator" w:id="0">
    <w:p w:rsidR="00170434" w:rsidRDefault="00170434" w:rsidP="008535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C0565B" w:rsidP="00E57F4D">
    <w:pPr>
      <w:pStyle w:val="a5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 w:rsidRDefault="001B570C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1B570C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09.75pt;margin-top:6pt;width:215.85pt;height:20.6pt;z-index:251658240" stroked="f">
          <v:textbox>
            <w:txbxContent>
              <w:p w:rsidR="008F6BDE" w:rsidRDefault="00C0565B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0565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C0565B" w:rsidP="00E57F4D">
    <w:pPr>
      <w:pStyle w:val="a5"/>
      <w:pBdr>
        <w:bottom w:val="nil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 w:rsidRDefault="001B570C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  <o:shapelayout v:ext="edit">
      <o:idmap v:ext="edit" data="1,2"/>
      <o:rules v:ext="edit">
        <o:r id="V:Rule2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35AA"/>
    <w:rsid w:val="00002DBC"/>
    <w:rsid w:val="000B6B62"/>
    <w:rsid w:val="00170434"/>
    <w:rsid w:val="001B570C"/>
    <w:rsid w:val="00204DBE"/>
    <w:rsid w:val="002F0BE0"/>
    <w:rsid w:val="003B50BF"/>
    <w:rsid w:val="004D79FA"/>
    <w:rsid w:val="005636B7"/>
    <w:rsid w:val="00704C47"/>
    <w:rsid w:val="0078121C"/>
    <w:rsid w:val="007E4168"/>
    <w:rsid w:val="0083442B"/>
    <w:rsid w:val="008535AA"/>
    <w:rsid w:val="008617B5"/>
    <w:rsid w:val="00891C18"/>
    <w:rsid w:val="008E5561"/>
    <w:rsid w:val="009064A6"/>
    <w:rsid w:val="00937482"/>
    <w:rsid w:val="009A536D"/>
    <w:rsid w:val="009E4495"/>
    <w:rsid w:val="00AA6948"/>
    <w:rsid w:val="00AF3998"/>
    <w:rsid w:val="00BF09EB"/>
    <w:rsid w:val="00C0565B"/>
    <w:rsid w:val="00C22438"/>
    <w:rsid w:val="00E406EE"/>
    <w:rsid w:val="00E57F4D"/>
    <w:rsid w:val="00E71EDF"/>
    <w:rsid w:val="00E931EF"/>
    <w:rsid w:val="00F66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7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A479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168</Words>
  <Characters>964</Characters>
  <Application>Microsoft Office Word</Application>
  <DocSecurity>0</DocSecurity>
  <Lines>8</Lines>
  <Paragraphs>2</Paragraphs>
  <ScaleCrop>false</ScaleCrop>
  <Company>Microsoft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ASUS</cp:lastModifiedBy>
  <cp:revision>49</cp:revision>
  <dcterms:created xsi:type="dcterms:W3CDTF">2015-11-02T14:51:00Z</dcterms:created>
  <dcterms:modified xsi:type="dcterms:W3CDTF">2021-11-11T02:03:00Z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