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2020年运输能耗超目标原因分析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2019年10月15日起江苏省采用交警路政联合执法行动，对于超载超限车辆的违章行为进行史上最严格的处罚，主要包括：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对超载超限车辆百分之二十以内的，司机200元扣3分，发货厂家及公司扣货15天并罚处2000元-5000元，承担仓储费，拖车费卸载及装车费；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货车超载百分之五十的，货车司机罚款1000元扣6分，发货厂家及公司扣货15天并罚处5000元-10000元，承担仓储费，拖车费卸载及装车费；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货车超载百分之五十以上百分之百以下的，扣12分并降级处理，罚款2000元-5000元，发货厂家及公司扣货一个月并处罚金20000元-50000元，并承担仓储费，拖车费卸载及装车费，对承运货主7天强制思想教育；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超载百分之百以上的，扣车一个月扣12分吊销驾驶证并处罚金5000元-10000元，三年内不得驾驶，发货厂家及公司法人强制思想教育一个月，并处罚金20000元以上100000元以下罚款，情节严重的追究刑事责任，承担拖车费，仓储费，卸载装车等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针对上述政策，公司严格执行并采取了下列措施；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对公司现有的搅拌车进行淘汰置换，全部改为法规车，但运输能力明显下降了，能耗上升了。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对搅拌车驾驶员进行油耗管理并进行考核；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以车辆进行日常管理考核，降低不正常、不合理的油耗；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严格源头治超管理，每辆搅拌车离公司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均进行称重，不超载运输；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12920"/>
    <w:multiLevelType w:val="singleLevel"/>
    <w:tmpl w:val="87E129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B528C"/>
    <w:rsid w:val="621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2021-10-18T06:07:00Z</dcterms:created>
  <dc:creator>广闻博见</dc:creator>
  <cp:lastModifiedBy>广闻博见</cp:lastModifiedBy>
  <cp:lastPrinted>2021-10-18T07:14:36Z</cp:lastPrinted>
  <dcterms:modified xsi:type="dcterms:W3CDTF">2021-10-18T07:22:03Z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C69491CCB81D4F2E92741BC203D6721B</vt:lpwstr>
  </property>
</Properties>
</file>