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南通市展成商品混凝土有限公司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rPr>
                <w:rFonts w:hint="eastAsia"/>
                <w:lang w:val="en-US" w:eastAsia="zh-CN"/>
              </w:rPr>
            </w:pPr>
            <w:r>
              <w:rPr>
                <w:rFonts w:hint="eastAsia"/>
                <w:lang w:val="en-US" w:eastAsia="zh-CN"/>
              </w:rPr>
              <w:t>☑RB/T 106-2013 能源管理体系 水泥企业认证要求</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1029-2021-EnMs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邱卓琳</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rPr>
                <w:b/>
                <w:sz w:val="22"/>
                <w:szCs w:val="22"/>
                <w:highlight w:val="yellow"/>
              </w:rPr>
            </w:pPr>
            <w:r>
              <w:rPr>
                <w:sz w:val="22"/>
                <w:szCs w:val="22"/>
                <w:highlight w:val="yellow"/>
              </w:rPr>
              <w:t>ISC-JSZJ-398</w:t>
            </w:r>
            <w:r>
              <w:rPr>
                <w:rFonts w:hint="eastAsia"/>
                <w:sz w:val="22"/>
                <w:szCs w:val="22"/>
                <w:highlight w:val="yellow"/>
                <w:lang w:val="en-US" w:eastAsia="zh-CN"/>
              </w:rPr>
              <w:t xml:space="preserve">      </w:t>
            </w:r>
            <w:r>
              <w:rPr>
                <w:sz w:val="22"/>
                <w:szCs w:val="22"/>
                <w:highlight w:val="yellow"/>
              </w:rPr>
              <w:t>张家港中联置业有限公司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2021.10.15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2021.10.19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0" w:name="_GoBack"/>
            <w:bookmarkEnd w:id="10"/>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C430B"/>
    <w:rsid w:val="55600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2021-10-21T11:11:44Z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