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南通市展成商品混凝土有限公司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邬广文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周涛、</w:t>
            </w:r>
            <w:r>
              <w:rPr>
                <w:rFonts w:hint="eastAsia"/>
                <w:color w:val="000000"/>
                <w:sz w:val="24"/>
                <w:szCs w:val="24"/>
              </w:rPr>
              <w:t>邱卓琳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 审核时间：</w:t>
            </w:r>
            <w:bookmarkStart w:id="2" w:name="审核日期"/>
            <w:r>
              <w:rPr>
                <w:color w:val="000000"/>
              </w:rPr>
              <w:t>2021年10月13日 下午至2021年10月14日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single"/>
                <w:shd w:val="clear" w:fill="FFFFFF"/>
              </w:rPr>
              <w:t>91320682553757337J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single"/>
                <w:shd w:val="clear" w:fill="FFFFFF"/>
              </w:rPr>
              <w:t xml:space="preserve">2010-04-06 至 2030-04-05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single"/>
                <w:shd w:val="clear" w:fill="FFFFFF"/>
              </w:rPr>
              <w:t xml:space="preserve">商品混凝土生产、销售；建筑材料销售；建筑工程机械设备租赁服务；道路普通货物运输、货物专用运输（罐车）。（依法须经批准的项目，经相关部门批准后方可开展经营活动）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bookmarkStart w:id="3" w:name="审核范围"/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single"/>
                <w:shd w:val="clear" w:fill="FFFFFF"/>
              </w:rPr>
              <w:t>商品混凝土的研发、生产和售后服务所涉及的能源管理活动</w:t>
            </w:r>
            <w:bookmarkEnd w:id="3"/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建筑业资质证书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D332014034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2021-12-31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预拌混凝土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如皋市长江镇蒲黄路58号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建筑业资质证书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》</w:t>
            </w:r>
            <w:r>
              <w:rPr>
                <w:rFonts w:hint="eastAsia"/>
                <w:color w:val="000000"/>
              </w:rPr>
              <w:t>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如皋市长江镇蒲黄路58号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</w:rPr>
            </w:pPr>
            <w:r>
              <w:drawing>
                <wp:inline distT="0" distB="0" distL="114300" distR="114300">
                  <wp:extent cx="6143625" cy="1256665"/>
                  <wp:effectExtent l="0" t="0" r="3175" b="63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3625" cy="1256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50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12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3</w:t>
            </w:r>
            <w:bookmarkStart w:id="4" w:name="_GoBack"/>
            <w:bookmarkEnd w:id="4"/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6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4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4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□EMS  □OHSMS  □FSMSMS  □HACCP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E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n</w:t>
            </w:r>
            <w:r>
              <w:rPr>
                <w:rFonts w:hint="eastAsia"/>
                <w:color w:val="000000"/>
                <w:szCs w:val="21"/>
              </w:rPr>
              <w:t>M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S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rFonts w:hint="eastAsia"/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行政处罚决定书文号：通02环罚字【2020】136号</w:t>
            </w:r>
            <w:r>
              <w:rPr>
                <w:rFonts w:hint="eastAsia"/>
                <w:color w:val="000000"/>
                <w:u w:val="single"/>
              </w:rPr>
              <w:t xml:space="preserve">    </w:t>
            </w:r>
          </w:p>
          <w:p>
            <w:pPr>
              <w:widowControl/>
              <w:ind w:firstLine="420" w:firstLineChars="200"/>
              <w:jc w:val="left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违法行为类型：环境；</w:t>
            </w:r>
            <w:r>
              <w:rPr>
                <w:rFonts w:hint="eastAsia"/>
                <w:color w:val="000000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u w:val="none"/>
              </w:rPr>
              <w:t xml:space="preserve">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处罚依据：依据《中华人民共和国大气污染法》第117条第2项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  <w:lang w:val="en-US" w:eastAsia="zh-CN"/>
              </w:rPr>
              <w:t>主要违法事实：未采取有效覆盖措施防治扬尘污染；       处罚种类：罚款</w:t>
            </w:r>
            <w:r>
              <w:rPr>
                <w:rFonts w:hint="eastAsia"/>
                <w:color w:val="000000"/>
                <w:u w:val="single"/>
                <w:lang w:eastAsia="zh-CN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         </w:t>
            </w:r>
          </w:p>
          <w:p>
            <w:pPr>
              <w:widowControl/>
              <w:jc w:val="left"/>
              <w:rPr>
                <w:rFonts w:hint="eastAsia"/>
                <w:color w:val="000000"/>
                <w:szCs w:val="18"/>
                <w:highlight w:val="cyan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cyan"/>
                <w:lang w:val="en-US" w:eastAsia="zh-CN"/>
              </w:rPr>
              <w:t>处罚交款凭证：</w:t>
            </w:r>
          </w:p>
          <w:p>
            <w:pPr>
              <w:widowControl/>
              <w:jc w:val="left"/>
              <w:rPr>
                <w:rFonts w:hint="default"/>
                <w:color w:val="000000"/>
                <w:szCs w:val="18"/>
                <w:highlight w:val="cyan"/>
                <w:lang w:val="en-US" w:eastAsia="zh-CN"/>
              </w:rPr>
            </w:pPr>
            <w:r>
              <w:rPr>
                <w:rFonts w:hint="default"/>
                <w:color w:val="000000"/>
                <w:szCs w:val="18"/>
                <w:highlight w:val="cyan"/>
                <w:lang w:val="en-US" w:eastAsia="zh-CN"/>
              </w:rPr>
              <w:drawing>
                <wp:inline distT="0" distB="0" distL="114300" distR="114300">
                  <wp:extent cx="6210300" cy="2560955"/>
                  <wp:effectExtent l="0" t="0" r="0" b="4445"/>
                  <wp:docPr id="3" name="图片 3" descr="A 52081_缴费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A 52081_缴费单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0300" cy="2560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 w:ascii="Times New Roman" w:hAnsi="Times New Roman" w:eastAsia="宋体" w:cs="Times New Roman"/>
                <w:color w:val="000000"/>
                <w:szCs w:val="18"/>
                <w:u w:val="none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none"/>
              </w:rPr>
              <w:t xml:space="preserve"> 遵守法规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none"/>
              </w:rPr>
              <w:t>清洁生产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none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none"/>
                <w:lang w:val="en-US" w:eastAsia="zh-CN"/>
              </w:rPr>
              <w:t>节能降耗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none"/>
              </w:rPr>
              <w:t>创新改造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none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none"/>
                <w:lang w:val="en-US" w:eastAsia="zh-CN"/>
              </w:rPr>
              <w:t>能耗限额、持续改进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non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tbl>
            <w:tblPr>
              <w:tblStyle w:val="5"/>
              <w:tblpPr w:leftFromText="180" w:rightFromText="180" w:vertAnchor="text" w:horzAnchor="page" w:tblpX="95" w:tblpY="877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73"/>
              <w:gridCol w:w="3455"/>
              <w:gridCol w:w="1912"/>
              <w:gridCol w:w="181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73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u w:val="singl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u w:val="single"/>
                    </w:rPr>
                    <w:t>节能目标</w:t>
                  </w:r>
                </w:p>
              </w:tc>
              <w:tc>
                <w:tcPr>
                  <w:tcW w:w="3455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u w:val="singl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u w:val="single"/>
                    </w:rPr>
                    <w:t>控制措施</w:t>
                  </w:r>
                </w:p>
              </w:tc>
              <w:tc>
                <w:tcPr>
                  <w:tcW w:w="1912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u w:val="singl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u w:val="single"/>
                    </w:rPr>
                    <w:t>责任部门</w:t>
                  </w:r>
                </w:p>
              </w:tc>
              <w:tc>
                <w:tcPr>
                  <w:tcW w:w="1813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u w:val="singl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u w:val="single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73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u w:val="singl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u w:val="single"/>
                      <w:lang w:val="en-US" w:eastAsia="zh-CN"/>
                    </w:rPr>
                    <w:t>0.37Kgce/m³（生产）</w:t>
                  </w:r>
                </w:p>
              </w:tc>
              <w:tc>
                <w:tcPr>
                  <w:tcW w:w="3455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u w:val="single"/>
                      <w:lang w:val="en-US" w:eastAsia="zh-CN"/>
                    </w:rPr>
                    <w:t>加强节电管理，合理使用电力能源</w:t>
                  </w:r>
                </w:p>
              </w:tc>
              <w:tc>
                <w:tcPr>
                  <w:tcW w:w="1912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u w:val="single"/>
                      <w:lang w:val="en-US" w:eastAsia="zh-CN"/>
                    </w:rPr>
                    <w:t>办公室/生产部</w:t>
                  </w:r>
                </w:p>
              </w:tc>
              <w:tc>
                <w:tcPr>
                  <w:tcW w:w="1813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u w:val="single"/>
                      <w:lang w:val="en-US" w:eastAsia="zh-CN"/>
                    </w:rPr>
                    <w:t>0.36完成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73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u w:val="singl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u w:val="single"/>
                      <w:lang w:val="en-US" w:eastAsia="zh-CN"/>
                    </w:rPr>
                    <w:t>2.1Kgce/m³（运输）</w:t>
                  </w:r>
                </w:p>
              </w:tc>
              <w:tc>
                <w:tcPr>
                  <w:tcW w:w="3455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u w:val="single"/>
                      <w:lang w:val="en-US" w:eastAsia="zh-CN"/>
                    </w:rPr>
                    <w:t>合理运输，降低柴油能源浪费，</w:t>
                  </w:r>
                </w:p>
              </w:tc>
              <w:tc>
                <w:tcPr>
                  <w:tcW w:w="1912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u w:val="single"/>
                      <w:lang w:val="en-US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u w:val="single"/>
                      <w:lang w:val="en-US" w:eastAsia="zh-CN"/>
                    </w:rPr>
                    <w:t>生产部/运输司机</w:t>
                  </w:r>
                </w:p>
              </w:tc>
              <w:tc>
                <w:tcPr>
                  <w:tcW w:w="1813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u w:val="single"/>
                      <w:lang w:val="en-US" w:eastAsia="zh-CN"/>
                    </w:rPr>
                    <w:t>3.2未完成</w:t>
                  </w:r>
                </w:p>
              </w:tc>
            </w:tr>
          </w:tbl>
          <w:p>
            <w:pPr>
              <w:widowControl/>
              <w:spacing w:before="40"/>
              <w:jc w:val="left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生产单耗</w:t>
            </w:r>
            <w:r>
              <w:rPr>
                <w:rFonts w:hint="eastAsia" w:ascii="宋体" w:hAnsi="宋体" w:eastAsia="宋体" w:cs="宋体"/>
                <w:color w:val="000000"/>
                <w:szCs w:val="18"/>
                <w:u w:val="single"/>
                <w:lang w:val="en-US" w:eastAsia="zh-CN"/>
              </w:rPr>
              <w:t>≦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0.37Kgce/m³（生产）</w:t>
            </w:r>
            <w:r>
              <w:rPr>
                <w:rFonts w:hint="eastAsia"/>
                <w:color w:val="000000"/>
                <w:szCs w:val="18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运输单耗2.1Kgce/m³（运输）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>E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>n</w:t>
            </w:r>
            <w:r>
              <w:rPr>
                <w:color w:val="000000"/>
                <w:spacing w:val="-2"/>
                <w:szCs w:val="21"/>
              </w:rPr>
              <w:t>MS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22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作业文件；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29</w:t>
            </w:r>
            <w:r>
              <w:rPr>
                <w:color w:val="auto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auto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记录表格；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21</w:t>
            </w:r>
            <w:r>
              <w:rPr>
                <w:color w:val="auto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9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16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9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26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确认能源消耗的种类：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重点</w:t>
            </w:r>
            <w:r>
              <w:rPr>
                <w:rFonts w:hint="eastAsia"/>
                <w:color w:val="000000"/>
                <w:szCs w:val="18"/>
              </w:rPr>
              <w:t>用能单位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一般用能单位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             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能源目标指标完成情况：</w:t>
            </w:r>
          </w:p>
          <w:tbl>
            <w:tblPr>
              <w:tblStyle w:val="6"/>
              <w:tblW w:w="97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6"/>
              <w:gridCol w:w="2258"/>
              <w:gridCol w:w="45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能耗指标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完成情况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国家限额指标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地方政府下达的指标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集团或上一级部门下达的指标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本单位制定的目标指标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0.37Kgce/m³（生产）、2.1Kgce/m³（运输）。</w:t>
                  </w:r>
                </w:p>
                <w:p>
                  <w:pPr>
                    <w:rPr>
                      <w:rFonts w:hint="default" w:ascii="宋体" w:hAnsi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生产目标完成，运输目标超标，公司已经分析原因，制定纠正措施。</w:t>
                  </w:r>
                </w:p>
              </w:tc>
            </w:tr>
          </w:tbl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现有产量与能源评估的产能的对比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能评的产能：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18"/>
              </w:rPr>
              <w:t>合规性证明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节能评估报告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节能项目验收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能源审计报告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查看主要能源使用的识别的充分性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了解能源基准和能源绩效参数确定的合理性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color w:val="000000"/>
                <w:sz w:val="21"/>
                <w:szCs w:val="18"/>
              </w:rPr>
            </w:pPr>
            <w:r>
              <w:rPr>
                <w:rFonts w:hint="eastAsia"/>
                <w:color w:val="000000"/>
                <w:sz w:val="21"/>
                <w:szCs w:val="18"/>
              </w:rPr>
              <w:t xml:space="preserve">了解能源数据收集的策划的合理性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了解适用的能源法律和其他要求的获取、识别和实施情况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了解组织能源评审报告的完成情况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近一年是否进行了技术改进？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szCs w:val="18"/>
              </w:rPr>
              <w:t>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  <w:szCs w:val="18"/>
                <w:highlight w:val="red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能源采购包括：</w:t>
            </w:r>
          </w:p>
          <w:p>
            <w:pPr>
              <w:ind w:left="210" w:left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压缩气体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了解节能知识和技能教育的实施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— 了解主要能源使用情况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气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</w:rPr>
              <w:t>了解节水情况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新鲜水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循环水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除盐水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 </w:t>
            </w:r>
          </w:p>
          <w:p>
            <w:pPr>
              <w:ind w:left="210" w:left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了解主要耗能设备的识别状况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了解主要耗能设备的运行效率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了解淘汰落后设备的识别情况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color w:val="000000"/>
                <w:szCs w:val="18"/>
              </w:rPr>
              <w:t>了解能耗限值达标情况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不达标，原因：————————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了解能源计量器具配备情况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用能单位        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主要次级用能单位</w:t>
            </w:r>
            <w:r>
              <w:rPr>
                <w:rFonts w:hint="eastAsia"/>
                <w:color w:val="000000"/>
                <w:szCs w:val="18"/>
              </w:rPr>
              <w:t xml:space="preserve">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主要用能设备    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1260" w:firstLineChars="6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主要违法事实：未采取有效覆盖措施防治扬尘污染； 处罚种类：罚款</w:t>
            </w:r>
            <w:r>
              <w:rPr>
                <w:rFonts w:hint="eastAsia"/>
                <w:color w:val="000000"/>
                <w:u w:val="single"/>
                <w:lang w:eastAsia="zh-CN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近一年重大能源事故情况，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查看地理位置图、厂区平面图（适用时）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þ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巡视办公区域和生产区域的能源管理情况，是否存在：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空调温度控制，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长明灯，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长流水；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天然气使用开关关闭；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巡视生产区域（厂区、车间、锅炉、加热炉、公用工程等），</w:t>
            </w:r>
            <w:r>
              <w:rPr>
                <w:rFonts w:hint="eastAsia"/>
                <w:color w:val="000000"/>
                <w:szCs w:val="18"/>
              </w:rPr>
              <w:t>了解能源使用的种类：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燃料气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燃料油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巡视动力设施和辅助设施的状况，关注主要用能场所：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加热炉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汽轮机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空压机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观察基础设施（高耗能设备）运行完好：是否存在低负荷运行——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电动机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工业锅炉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工业炉窑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反应釜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热处理设备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泵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观察能源相关的监视和测量设备的种类并了解检定/校准情况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流量计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氧化锆测定仪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电流表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电压表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 xml:space="preserve">-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pPr>
        <w:pStyle w:val="3"/>
      </w:pPr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7A16B35"/>
    <w:multiLevelType w:val="multilevel"/>
    <w:tmpl w:val="37A16B35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B7870FE"/>
    <w:rsid w:val="24F20C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2706</Words>
  <Characters>15429</Characters>
  <Lines>128</Lines>
  <Paragraphs>36</Paragraphs>
  <TotalTime>3</TotalTime>
  <ScaleCrop>false</ScaleCrop>
  <LinksUpToDate>false</LinksUpToDate>
  <CharactersWithSpaces>18099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2021-10-16T08:35:00Z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2052-11.1.0.10667</vt:lpwstr>
  </property>
</Properties>
</file>