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spacing w:line="480" w:lineRule="exact"/>
        <w:ind w:firstLine="6300" w:firstLineChars="17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92"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1198" w:type="dxa"/>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受审核部门：财务部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主管领导</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 xml:space="preserve">王飞燕             </w:t>
            </w:r>
            <w:r>
              <w:rPr>
                <w:rFonts w:hint="eastAsia" w:asciiTheme="minorEastAsia" w:hAnsiTheme="minorEastAsia" w:eastAsiaTheme="minorEastAsia" w:cstheme="minorEastAsia"/>
                <w:szCs w:val="21"/>
              </w:rPr>
              <w:t>陪同人员：</w:t>
            </w:r>
            <w:r>
              <w:rPr>
                <w:rFonts w:hint="eastAsia" w:asciiTheme="minorEastAsia" w:hAnsiTheme="minorEastAsia" w:eastAsiaTheme="minorEastAsia" w:cstheme="minorEastAsia"/>
                <w:szCs w:val="21"/>
                <w:lang w:val="en-US" w:eastAsia="zh-CN"/>
              </w:rPr>
              <w:t>孔希</w:t>
            </w:r>
          </w:p>
        </w:tc>
        <w:tc>
          <w:tcPr>
            <w:tcW w:w="851"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rPr>
                <w:rFonts w:asciiTheme="minorEastAsia" w:hAnsiTheme="minorEastAsia" w:eastAsiaTheme="minorEastAsia" w:cstheme="minorEastAsia"/>
                <w:szCs w:val="21"/>
              </w:rPr>
            </w:pPr>
          </w:p>
        </w:tc>
        <w:tc>
          <w:tcPr>
            <w:tcW w:w="992" w:type="dxa"/>
            <w:vMerge w:val="continue"/>
            <w:vAlign w:val="center"/>
          </w:tcPr>
          <w:p>
            <w:pPr>
              <w:rPr>
                <w:rFonts w:asciiTheme="minorEastAsia" w:hAnsiTheme="minorEastAsia" w:eastAsiaTheme="minorEastAsia" w:cstheme="minorEastAsia"/>
                <w:szCs w:val="21"/>
              </w:rPr>
            </w:pPr>
          </w:p>
        </w:tc>
        <w:tc>
          <w:tcPr>
            <w:tcW w:w="11198" w:type="dxa"/>
            <w:vAlign w:val="center"/>
          </w:tcPr>
          <w:p>
            <w:pPr>
              <w:spacing w:before="1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审核员：</w:t>
            </w:r>
            <w:r>
              <w:rPr>
                <w:rFonts w:hint="eastAsia" w:asciiTheme="minorEastAsia" w:hAnsiTheme="minorEastAsia" w:eastAsiaTheme="minorEastAsia" w:cstheme="minorEastAsia"/>
                <w:szCs w:val="21"/>
                <w:lang w:val="en-US" w:eastAsia="zh-CN"/>
              </w:rPr>
              <w:t xml:space="preserve">周涛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color w:val="FF0000"/>
                <w:szCs w:val="21"/>
              </w:rPr>
              <w:t xml:space="preserve">  </w:t>
            </w:r>
            <w:r>
              <w:rPr>
                <w:rFonts w:hint="eastAsia" w:asciiTheme="minorEastAsia" w:hAnsiTheme="minorEastAsia" w:eastAsiaTheme="minorEastAsia" w:cstheme="minorEastAsia"/>
                <w:color w:val="auto"/>
                <w:szCs w:val="21"/>
              </w:rPr>
              <w:t>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12</w:t>
            </w:r>
          </w:p>
        </w:tc>
        <w:tc>
          <w:tcPr>
            <w:tcW w:w="85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rFonts w:asciiTheme="minorEastAsia" w:hAnsiTheme="minorEastAsia" w:eastAsiaTheme="minorEastAsia" w:cstheme="minorEastAsia"/>
                <w:szCs w:val="21"/>
              </w:rPr>
            </w:pPr>
          </w:p>
        </w:tc>
        <w:tc>
          <w:tcPr>
            <w:tcW w:w="992" w:type="dxa"/>
            <w:vMerge w:val="continue"/>
            <w:vAlign w:val="center"/>
          </w:tcPr>
          <w:p>
            <w:pPr>
              <w:rPr>
                <w:rFonts w:asciiTheme="minorEastAsia" w:hAnsiTheme="minorEastAsia" w:eastAsiaTheme="minorEastAsia" w:cstheme="minorEastAsia"/>
                <w:szCs w:val="21"/>
              </w:rPr>
            </w:pPr>
          </w:p>
        </w:tc>
        <w:tc>
          <w:tcPr>
            <w:tcW w:w="11198" w:type="dxa"/>
            <w:vAlign w:val="center"/>
          </w:tcPr>
          <w:p>
            <w:pPr>
              <w:spacing w:line="300" w:lineRule="exact"/>
              <w:jc w:val="left"/>
              <w:rPr>
                <w:rFonts w:hint="eastAsia" w:asciiTheme="minorEastAsia" w:hAnsiTheme="minorEastAsia" w:eastAsiaTheme="minorEastAsia" w:cstheme="minorEastAsia"/>
                <w:b/>
                <w:w w:val="90"/>
                <w:szCs w:val="21"/>
              </w:rPr>
            </w:pPr>
            <w:r>
              <w:rPr>
                <w:rFonts w:hint="eastAsia" w:asciiTheme="minorEastAsia" w:hAnsiTheme="minorEastAsia" w:eastAsiaTheme="minorEastAsia" w:cstheme="minorEastAsia"/>
                <w:szCs w:val="21"/>
              </w:rPr>
              <w:t>审核条款：</w:t>
            </w:r>
          </w:p>
          <w:p>
            <w:pPr>
              <w:spacing w:line="300" w:lineRule="exact"/>
              <w:jc w:val="left"/>
              <w:rPr>
                <w:rFonts w:ascii="宋体" w:hAnsi="宋体"/>
                <w:bCs/>
                <w:sz w:val="21"/>
                <w:szCs w:val="21"/>
              </w:rPr>
            </w:pPr>
            <w:r>
              <w:rPr>
                <w:rFonts w:hint="eastAsia" w:ascii="宋体" w:hAnsi="宋体"/>
                <w:bCs/>
                <w:sz w:val="21"/>
                <w:szCs w:val="21"/>
              </w:rPr>
              <w:t>E：</w:t>
            </w:r>
            <w:r>
              <w:rPr>
                <w:rFonts w:hint="eastAsia" w:ascii="宋体" w:hAnsi="宋体" w:cs="宋体"/>
                <w:bCs/>
                <w:sz w:val="21"/>
                <w:szCs w:val="21"/>
              </w:rPr>
              <w:t>5.3/6.2/8.1/8.2</w:t>
            </w:r>
          </w:p>
          <w:p>
            <w:pPr>
              <w:spacing w:line="300" w:lineRule="exact"/>
              <w:jc w:val="left"/>
              <w:rPr>
                <w:rFonts w:hint="eastAsia" w:asciiTheme="minorEastAsia" w:hAnsiTheme="minorEastAsia" w:eastAsiaTheme="minorEastAsia" w:cstheme="minorEastAsia"/>
                <w:b/>
                <w:w w:val="90"/>
                <w:szCs w:val="21"/>
              </w:rPr>
            </w:pPr>
            <w:r>
              <w:rPr>
                <w:rFonts w:hint="eastAsia" w:ascii="宋体" w:hAnsi="宋体"/>
                <w:bCs/>
                <w:sz w:val="21"/>
                <w:szCs w:val="21"/>
              </w:rPr>
              <w:t>S：</w:t>
            </w:r>
            <w:r>
              <w:rPr>
                <w:rFonts w:hint="eastAsia" w:ascii="宋体" w:hAnsi="宋体" w:cs="宋体"/>
                <w:bCs/>
                <w:sz w:val="21"/>
                <w:szCs w:val="21"/>
              </w:rPr>
              <w:t>5.3/5.4/6.2/8.1/8.2</w:t>
            </w:r>
          </w:p>
        </w:tc>
        <w:tc>
          <w:tcPr>
            <w:tcW w:w="85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部门的岗位职责和权限</w:t>
            </w:r>
          </w:p>
          <w:p>
            <w:pPr>
              <w:spacing w:line="280" w:lineRule="exact"/>
              <w:rPr>
                <w:rFonts w:asciiTheme="minorEastAsia" w:hAnsiTheme="minorEastAsia" w:eastAsiaTheme="minorEastAsia" w:cstheme="minorEastAsia"/>
                <w:b/>
                <w:szCs w:val="21"/>
              </w:rPr>
            </w:pPr>
          </w:p>
        </w:tc>
        <w:tc>
          <w:tcPr>
            <w:tcW w:w="992"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color w:val="000000"/>
                <w:kern w:val="0"/>
                <w:szCs w:val="21"/>
              </w:rPr>
              <w:t>E</w:t>
            </w:r>
            <w:r>
              <w:rPr>
                <w:rFonts w:hint="eastAsia" w:asciiTheme="minorEastAsia" w:hAnsiTheme="minorEastAsia" w:eastAsiaTheme="minorEastAsia" w:cstheme="minorEastAsia"/>
                <w:color w:val="000000"/>
                <w:kern w:val="0"/>
                <w:szCs w:val="21"/>
                <w:lang w:val="en-US" w:eastAsia="zh-CN"/>
              </w:rPr>
              <w:t>O</w:t>
            </w:r>
            <w:r>
              <w:rPr>
                <w:rFonts w:hint="eastAsia" w:asciiTheme="minorEastAsia" w:hAnsiTheme="minorEastAsia" w:eastAsiaTheme="minorEastAsia" w:cstheme="minorEastAsia"/>
                <w:color w:val="000000"/>
                <w:kern w:val="0"/>
                <w:szCs w:val="21"/>
              </w:rPr>
              <w:t>:5.3</w:t>
            </w:r>
          </w:p>
        </w:tc>
        <w:tc>
          <w:tcPr>
            <w:tcW w:w="11198" w:type="dxa"/>
            <w:vAlign w:val="center"/>
          </w:tcPr>
          <w:p>
            <w:pPr>
              <w:spacing w:line="4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eastAsia="zh-CN"/>
              </w:rPr>
              <w:t xml:space="preserve">王飞燕 </w:t>
            </w:r>
            <w:r>
              <w:rPr>
                <w:rFonts w:hint="eastAsia" w:asciiTheme="minorEastAsia" w:hAnsiTheme="minorEastAsia" w:eastAsiaTheme="minorEastAsia" w:cstheme="minorEastAsia"/>
                <w:szCs w:val="21"/>
              </w:rPr>
              <w:t>主管介绍财务部主要负责与环境和安全有关的成本控制。负责</w:t>
            </w:r>
            <w:r>
              <w:rPr>
                <w:rFonts w:hint="eastAsia" w:asciiTheme="minorEastAsia" w:hAnsiTheme="minorEastAsia" w:eastAsiaTheme="minorEastAsia" w:cstheme="minorEastAsia"/>
                <w:szCs w:val="21"/>
                <w:lang w:val="en-US" w:eastAsia="zh-CN"/>
              </w:rPr>
              <w:t>体系运行资金的提供，及负责</w:t>
            </w:r>
            <w:r>
              <w:rPr>
                <w:rFonts w:hint="eastAsia" w:asciiTheme="minorEastAsia" w:hAnsiTheme="minorEastAsia" w:eastAsiaTheme="minorEastAsia" w:cstheme="minorEastAsia"/>
                <w:szCs w:val="21"/>
              </w:rPr>
              <w:t>本部门的节能、减排、降耗工作，负责本部门员工的安全培训工作</w:t>
            </w:r>
            <w:r>
              <w:rPr>
                <w:rFonts w:hint="eastAsia" w:asciiTheme="minorEastAsia" w:hAnsiTheme="minorEastAsia" w:eastAsiaTheme="minorEastAsia" w:cstheme="minorEastAsia"/>
                <w:szCs w:val="21"/>
                <w:lang w:val="en-US" w:eastAsia="zh-CN"/>
              </w:rPr>
              <w:t>等</w:t>
            </w:r>
            <w:r>
              <w:rPr>
                <w:rFonts w:hint="eastAsia" w:asciiTheme="minorEastAsia" w:hAnsiTheme="minorEastAsia" w:eastAsiaTheme="minorEastAsia" w:cstheme="minorEastAsia"/>
                <w:szCs w:val="21"/>
              </w:rPr>
              <w:t>。</w:t>
            </w:r>
          </w:p>
        </w:tc>
        <w:tc>
          <w:tcPr>
            <w:tcW w:w="851" w:type="dxa"/>
            <w:vAlign w:val="top"/>
          </w:tcPr>
          <w:p>
            <w:pPr>
              <w:pStyle w:val="3"/>
              <w:ind w:left="0" w:leftChars="0" w:firstLine="0" w:firstLineChars="0"/>
              <w:rPr>
                <w:rFonts w:asciiTheme="minorEastAsia" w:hAnsiTheme="minorEastAsia" w:eastAsiaTheme="minorEastAsia" w:cstheme="minorEastAsia"/>
                <w:szCs w:val="21"/>
              </w:rPr>
            </w:pPr>
          </w:p>
          <w:p>
            <w:pPr>
              <w:pStyle w:val="3"/>
              <w:ind w:left="0" w:leftChars="0" w:firstLine="210" w:firstLineChars="100"/>
              <w:rPr>
                <w:rFonts w:hint="default" w:eastAsiaTheme="minorEastAsia"/>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asciiTheme="minorEastAsia" w:hAnsiTheme="minorEastAsia" w:eastAsiaTheme="minorEastAsia" w:cstheme="minorEastAsia"/>
                <w:b/>
                <w:szCs w:val="21"/>
              </w:rPr>
            </w:pPr>
          </w:p>
        </w:tc>
        <w:tc>
          <w:tcPr>
            <w:tcW w:w="992" w:type="dxa"/>
          </w:tcPr>
          <w:p>
            <w:pPr>
              <w:spacing w:line="400" w:lineRule="exact"/>
              <w:jc w:val="left"/>
              <w:textAlignment w:val="baseline"/>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rPr>
              <w:t>E</w:t>
            </w:r>
            <w:r>
              <w:rPr>
                <w:rFonts w:hint="eastAsia" w:asciiTheme="minorEastAsia" w:hAnsiTheme="minorEastAsia" w:eastAsiaTheme="minorEastAsia" w:cstheme="minorEastAsia"/>
                <w:b/>
                <w:bCs/>
                <w:szCs w:val="21"/>
                <w:lang w:val="en-US" w:eastAsia="zh-CN"/>
              </w:rPr>
              <w:t>O</w:t>
            </w:r>
            <w:r>
              <w:rPr>
                <w:rFonts w:hint="eastAsia" w:asciiTheme="minorEastAsia" w:hAnsiTheme="minorEastAsia" w:eastAsiaTheme="minorEastAsia" w:cstheme="minorEastAsia"/>
                <w:b/>
                <w:bCs/>
                <w:szCs w:val="21"/>
              </w:rPr>
              <w:t>6.</w:t>
            </w:r>
            <w:r>
              <w:rPr>
                <w:rFonts w:hint="eastAsia" w:asciiTheme="minorEastAsia" w:hAnsiTheme="minorEastAsia" w:eastAsiaTheme="minorEastAsia" w:cstheme="minorEastAsia"/>
                <w:b/>
                <w:bCs/>
                <w:szCs w:val="21"/>
                <w:lang w:val="en-US" w:eastAsia="zh-CN"/>
              </w:rPr>
              <w:t>2</w:t>
            </w:r>
          </w:p>
        </w:tc>
        <w:tc>
          <w:tcPr>
            <w:tcW w:w="11198" w:type="dxa"/>
            <w:vAlign w:val="center"/>
          </w:tcPr>
          <w:p>
            <w:pPr>
              <w:jc w:val="both"/>
              <w:rPr>
                <w:rFonts w:ascii="宋体" w:hAnsi="宋体" w:cs="宋体"/>
                <w:szCs w:val="21"/>
              </w:rPr>
            </w:pPr>
            <w:r>
              <w:rPr>
                <w:rFonts w:hint="eastAsia" w:ascii="宋体" w:hAnsi="宋体" w:cs="宋体"/>
                <w:szCs w:val="21"/>
              </w:rPr>
              <w:t>提供：目标、指标、绩效完成情况统计表</w:t>
            </w:r>
          </w:p>
          <w:p>
            <w:pPr>
              <w:ind w:firstLine="630" w:firstLineChars="300"/>
              <w:rPr>
                <w:rFonts w:ascii="宋体" w:hAnsi="宋体" w:cs="宋体"/>
                <w:szCs w:val="21"/>
              </w:rPr>
            </w:pPr>
            <w:r>
              <w:rPr>
                <w:rFonts w:hint="eastAsia" w:ascii="宋体" w:hAnsi="宋体" w:cs="宋体"/>
                <w:szCs w:val="21"/>
                <w:lang w:val="en-US" w:eastAsia="zh-CN"/>
              </w:rPr>
              <w:t>环境/</w:t>
            </w:r>
            <w:r>
              <w:rPr>
                <w:rFonts w:hint="eastAsia" w:ascii="宋体" w:hAnsi="宋体" w:cs="宋体"/>
                <w:szCs w:val="21"/>
              </w:rPr>
              <w:t xml:space="preserve">职业健康安全管理目标、指标及管理方案 </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asciiTheme="minorEastAsia" w:hAnsiTheme="minorEastAsia" w:eastAsiaTheme="minorEastAsia" w:cstheme="minorEastAsia"/>
                <w:szCs w:val="21"/>
              </w:rPr>
              <w:t>查到财务部EO目标</w:t>
            </w:r>
            <w:r>
              <w:rPr>
                <w:rFonts w:hint="eastAsia" w:asciiTheme="minorEastAsia" w:hAnsiTheme="minorEastAsia" w:eastAsiaTheme="minorEastAsia" w:cstheme="minorEastAsia"/>
                <w:szCs w:val="21"/>
              </w:rPr>
              <w:t>：</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1、资金使用计划到位率100% </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2、成本计划编制、实施、监督100% </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3、合同审查，确保资金安全率100% </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4、工资、奖金分配审查、监督保证率100% </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5、职业健康安全保证资金100%到位 </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6、杜绝工伤事故，轻伤休工率为零 </w:t>
            </w:r>
          </w:p>
          <w:p>
            <w:pPr>
              <w:autoSpaceDE w:val="0"/>
              <w:autoSpaceDN w:val="0"/>
              <w:adjustRightInd w:val="0"/>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保证质量、环境、职业健康改善所需</w:t>
            </w:r>
            <w:r>
              <w:rPr>
                <w:rFonts w:hint="eastAsia" w:ascii="宋体" w:hAnsi="宋体" w:cs="宋体"/>
                <w:szCs w:val="21"/>
              </w:rPr>
              <w:t>资金到位率100%</w:t>
            </w:r>
            <w:r>
              <w:rPr>
                <w:rFonts w:hint="eastAsia" w:asciiTheme="minorEastAsia" w:hAnsiTheme="minorEastAsia" w:eastAsiaTheme="minorEastAsia" w:cstheme="minorEastAsia"/>
                <w:szCs w:val="21"/>
              </w:rPr>
              <w:t>、危险废弃物统一收集、处理。无重大安全事故、紧急事故处理率100％。火灾、触电事故0。查到20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年6</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月份目标统计结果已完成，部门指标设置需完善和可测量，对此已同部门主管交流。</w:t>
            </w:r>
          </w:p>
        </w:tc>
        <w:tc>
          <w:tcPr>
            <w:tcW w:w="851" w:type="dxa"/>
          </w:tcPr>
          <w:p/>
          <w:p>
            <w:pPr>
              <w:pStyle w:val="2"/>
            </w:pPr>
          </w:p>
          <w:p>
            <w:pPr>
              <w:pStyle w:val="3"/>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ind w:left="0" w:leftChars="0" w:firstLine="210" w:firstLineChars="1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asciiTheme="minorEastAsia" w:hAnsiTheme="minorEastAsia" w:eastAsiaTheme="minorEastAsia" w:cstheme="minorEastAsia"/>
                <w:b/>
                <w:szCs w:val="21"/>
              </w:rPr>
            </w:pPr>
          </w:p>
        </w:tc>
        <w:tc>
          <w:tcPr>
            <w:tcW w:w="992" w:type="dxa"/>
          </w:tcPr>
          <w:p>
            <w:pPr>
              <w:spacing w:line="400" w:lineRule="exact"/>
              <w:jc w:val="left"/>
              <w:textAlignment w:val="baseline"/>
              <w:rPr>
                <w:rFonts w:hint="eastAsia" w:asciiTheme="minorEastAsia" w:hAnsiTheme="minorEastAsia" w:eastAsiaTheme="minorEastAsia" w:cstheme="minorEastAsia"/>
                <w:b/>
                <w:bCs/>
                <w:szCs w:val="21"/>
              </w:rPr>
            </w:pPr>
            <w:r>
              <w:rPr>
                <w:rFonts w:hint="eastAsia" w:ascii="宋体" w:hAnsi="宋体"/>
                <w:bCs/>
                <w:sz w:val="21"/>
                <w:szCs w:val="21"/>
              </w:rPr>
              <w:t>S：</w:t>
            </w:r>
            <w:r>
              <w:rPr>
                <w:rFonts w:hint="eastAsia" w:ascii="宋体" w:hAnsi="宋体" w:cs="宋体"/>
                <w:bCs/>
                <w:sz w:val="21"/>
                <w:szCs w:val="21"/>
              </w:rPr>
              <w:t>5.4</w:t>
            </w:r>
          </w:p>
        </w:tc>
        <w:tc>
          <w:tcPr>
            <w:tcW w:w="1119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编制了《信息交流、沟通、参与和协商程序</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，组织在各部门之间建立了与体系有关的信息通渠沟道，借助于会议、电话、口头交流等方式使全体员工达到沟通和理解。目前各部门协调一致，工作上的接口基本理顺。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总经理</w:t>
            </w:r>
            <w:r>
              <w:rPr>
                <w:rFonts w:hint="eastAsia" w:ascii="宋体" w:hAnsi="宋体" w:cs="宋体"/>
                <w:color w:val="000000"/>
                <w:sz w:val="21"/>
                <w:szCs w:val="21"/>
                <w:highlight w:val="none"/>
                <w:lang w:val="en-US" w:eastAsia="zh-CN"/>
              </w:rPr>
              <w:t>闵慧</w:t>
            </w:r>
            <w:r>
              <w:rPr>
                <w:rFonts w:hint="eastAsia" w:ascii="宋体" w:hAnsi="宋体" w:eastAsia="宋体" w:cs="宋体"/>
                <w:color w:val="000000"/>
                <w:sz w:val="21"/>
                <w:szCs w:val="21"/>
                <w:highlight w:val="none"/>
                <w:lang w:val="en-US" w:eastAsia="zh-CN"/>
              </w:rPr>
              <w:t xml:space="preserve">定期主持经营办公例会，分析公司的发展、市场情况和体系运行是否有效，管理目标完成情况，满足顾客要求和法规程度，改进建议等内部管理存在问题等。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总经理</w:t>
            </w:r>
            <w:r>
              <w:rPr>
                <w:rFonts w:hint="eastAsia" w:ascii="宋体" w:hAnsi="宋体" w:cs="宋体"/>
                <w:color w:val="000000"/>
                <w:sz w:val="21"/>
                <w:szCs w:val="21"/>
                <w:highlight w:val="none"/>
                <w:lang w:val="en-US" w:eastAsia="zh-CN"/>
              </w:rPr>
              <w:t>闵慧</w:t>
            </w:r>
            <w:r>
              <w:rPr>
                <w:rFonts w:hint="eastAsia" w:ascii="宋体" w:hAnsi="宋体" w:eastAsia="宋体" w:cs="宋体"/>
                <w:color w:val="000000"/>
                <w:sz w:val="21"/>
                <w:szCs w:val="21"/>
                <w:highlight w:val="none"/>
                <w:lang w:val="en-US" w:eastAsia="zh-CN"/>
              </w:rPr>
              <w:t xml:space="preserve">为协商、参与提供了时间、机会、培训、资源等保障，明确了沟通、协商、参与渠道，消除了障碍和壁垒。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提供会议记录、培训记录、文件签收等组织内部培训方式相关记录。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办公室</w:t>
            </w:r>
            <w:r>
              <w:rPr>
                <w:rFonts w:hint="eastAsia" w:ascii="宋体" w:hAnsi="宋体" w:eastAsia="宋体" w:cs="宋体"/>
                <w:color w:val="000000"/>
                <w:sz w:val="21"/>
                <w:szCs w:val="21"/>
                <w:highlight w:val="none"/>
                <w:lang w:val="en-US" w:eastAsia="zh-CN"/>
              </w:rPr>
              <w:t>是内外部信息交流的中心，通过会议、邮件、培训等形式进行内部交流，向外部接收各种文件传递各种报表，外部沟通联络的部门有环保部门、劳动部门、消防安全部门、质监部门、安监部门及合同方等。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经交流：目前与环保、劳动、消防、安监部门的信息交流主要是参加会议、接收来文、电话、邮件等，均按要求予以传达和落实，沟通情况较好。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询问员工职业健康安全事务代表职责：石昌丙。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1）安全事务代表参与公司职业健康安全风险辨识、风险评价和控制措施的确定；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2）安全事务代表适当参与公司职业健康安全事件调查；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3）安全事务代表适当参与健康安全管理方针和目标的制定和评审；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4）安全事务代表对影响他们职业健康安全的任何变更进行协商；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5）安全事务代表对职业健康安全事务发表意见并与有关部门进行沟通，协商解决和处理由于公司福利待遇正常发放，员工无抱怨，目前信息交流机制畅通。</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宋体" w:hAnsi="宋体" w:eastAsia="宋体" w:cs="宋体"/>
                <w:color w:val="000000"/>
                <w:sz w:val="21"/>
                <w:szCs w:val="21"/>
                <w:highlight w:val="none"/>
                <w:lang w:val="en-US" w:eastAsia="zh-CN"/>
              </w:rPr>
              <w:t>现有的沟通渠道和方法能满足要求。审核中</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未发现因沟通不利不及时而造成（影响）某项工作不能正常运行的情况。</w:t>
            </w:r>
          </w:p>
        </w:tc>
        <w:tc>
          <w:tcPr>
            <w:tcW w:w="851" w:type="dxa"/>
          </w:tcPr>
          <w:p/>
          <w:p>
            <w:pPr>
              <w:pStyle w:val="2"/>
            </w:pPr>
          </w:p>
          <w:p>
            <w:pPr>
              <w:pStyle w:val="3"/>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ind w:left="0" w:leftChars="0" w:firstLine="0" w:firstLineChars="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y</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运行控制</w:t>
            </w:r>
          </w:p>
        </w:tc>
        <w:tc>
          <w:tcPr>
            <w:tcW w:w="992" w:type="dxa"/>
          </w:tcPr>
          <w:p>
            <w:pPr>
              <w:spacing w:line="400" w:lineRule="exact"/>
              <w:jc w:val="left"/>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E</w:t>
            </w:r>
            <w:r>
              <w:rPr>
                <w:rFonts w:hint="eastAsia" w:asciiTheme="minorEastAsia" w:hAnsiTheme="minorEastAsia" w:eastAsiaTheme="minorEastAsia" w:cstheme="minorEastAsia"/>
                <w:b/>
                <w:bCs/>
                <w:szCs w:val="21"/>
                <w:lang w:val="en-US" w:eastAsia="zh-CN"/>
              </w:rPr>
              <w:t>O</w:t>
            </w:r>
            <w:r>
              <w:rPr>
                <w:rFonts w:hint="eastAsia" w:asciiTheme="minorEastAsia" w:hAnsiTheme="minorEastAsia" w:eastAsiaTheme="minorEastAsia" w:cstheme="minorEastAsia"/>
                <w:b/>
                <w:bCs/>
                <w:szCs w:val="21"/>
              </w:rPr>
              <w:t>：8.1</w:t>
            </w:r>
          </w:p>
          <w:p>
            <w:pPr>
              <w:tabs>
                <w:tab w:val="left" w:pos="5220"/>
              </w:tabs>
              <w:spacing w:line="400" w:lineRule="exact"/>
              <w:jc w:val="left"/>
              <w:textAlignment w:val="top"/>
              <w:rPr>
                <w:rFonts w:asciiTheme="minorEastAsia" w:hAnsiTheme="minorEastAsia" w:eastAsiaTheme="minorEastAsia" w:cstheme="minorEastAsia"/>
                <w:color w:val="000000"/>
                <w:kern w:val="0"/>
                <w:szCs w:val="21"/>
              </w:rPr>
            </w:pPr>
          </w:p>
        </w:tc>
        <w:tc>
          <w:tcPr>
            <w:tcW w:w="11198" w:type="dxa"/>
            <w:vAlign w:val="center"/>
          </w:tcPr>
          <w:p>
            <w:pPr>
              <w:autoSpaceDE w:val="0"/>
              <w:autoSpaceDN w:val="0"/>
              <w:adjustRightInd w:val="0"/>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办公室负责</w:t>
            </w:r>
            <w:r>
              <w:rPr>
                <w:rFonts w:hint="eastAsia" w:asciiTheme="minorEastAsia" w:hAnsiTheme="minorEastAsia" w:eastAsiaTheme="minorEastAsia" w:cstheme="minorEastAsia"/>
                <w:szCs w:val="21"/>
              </w:rPr>
              <w:t>环境因素与危险源依据《环境因素识别评价程序》、《危险源辨识、风险评价和风险控制程序》识别并评价，日常工作中执行纸张双面打印，墨盒回收，人走灯灭，并对部门人员常宣传安全，做到节能、减排、降耗，</w:t>
            </w:r>
            <w:r>
              <w:rPr>
                <w:rFonts w:hint="eastAsia" w:asciiTheme="minorEastAsia" w:hAnsiTheme="minorEastAsia" w:eastAsiaTheme="minorEastAsia" w:cstheme="minorEastAsia"/>
                <w:kern w:val="0"/>
                <w:szCs w:val="21"/>
              </w:rPr>
              <w:t>在控制过程，考虑了顾客要求和相关法律法规要求。同时也考虑了组织的战略要求，包括利益相关方的相关要求，生命周期等，在废纸张处理、墨盒处理过程中均有体现。</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部门重要环境因素与危险源有：火灾、水电的消耗、纸张的消耗、废墨盒打印机硒鼓等。</w:t>
            </w:r>
          </w:p>
          <w:p>
            <w:pPr>
              <w:spacing w:line="40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运行控制</w:t>
            </w:r>
            <w:r>
              <w:rPr>
                <w:rFonts w:hint="eastAsia" w:asciiTheme="minorEastAsia" w:hAnsiTheme="minorEastAsia" w:eastAsiaTheme="minorEastAsia" w:cstheme="minorEastAsia"/>
                <w:szCs w:val="21"/>
                <w:lang w:eastAsia="zh-CN"/>
              </w:rPr>
              <w:t>：</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立、实施和保持了《危险源辨识、风险评价和风险运行控制程序》，确定那些与已辨识的、需实施必要控制措施的风险相关的运行和活动任务，并且不同职能和层次的管理者应当针对这些活动任务进行策划，确保其在相应程序和工作指南规定的条件下执行。</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财务主管</w:t>
            </w:r>
            <w:r>
              <w:rPr>
                <w:rFonts w:hint="eastAsia" w:asciiTheme="minorEastAsia" w:hAnsiTheme="minorEastAsia" w:eastAsiaTheme="minorEastAsia" w:cstheme="minorEastAsia"/>
                <w:szCs w:val="21"/>
                <w:lang w:eastAsia="zh-CN"/>
              </w:rPr>
              <w:t xml:space="preserve">王飞燕 </w:t>
            </w:r>
            <w:r>
              <w:rPr>
                <w:rFonts w:hint="eastAsia" w:asciiTheme="minorEastAsia" w:hAnsiTheme="minorEastAsia" w:eastAsiaTheme="minorEastAsia" w:cstheme="minorEastAsia"/>
                <w:szCs w:val="21"/>
              </w:rPr>
              <w:t>介绍：对于这些运行和活动任务，组织实施并保持：《环境运行控制程序》《环境和职业健康安全运行控制程序》《危险源辨识、风险评价和风险控制程序》</w:t>
            </w:r>
            <w:r>
              <w:rPr>
                <w:rFonts w:hint="eastAsia" w:asciiTheme="minorEastAsia" w:hAnsiTheme="minorEastAsia" w:eastAsiaTheme="minorEastAsia" w:cstheme="minorEastAsia"/>
                <w:szCs w:val="21"/>
              </w:rPr>
              <w:t>等对已识别的重要环境因素进行控制。保证产品和服务的设计与开发过程满足生命周期的需求。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年月1</w:t>
            </w:r>
            <w:r>
              <w:rPr>
                <w:rFonts w:hint="eastAsia" w:asciiTheme="minorEastAsia" w:hAnsiTheme="minorEastAsia" w:eastAsiaTheme="minorEastAsia" w:cstheme="minorEastAsia"/>
                <w:szCs w:val="21"/>
                <w:lang w:val="en-US" w:eastAsia="zh-CN"/>
              </w:rPr>
              <w:t>月以来</w:t>
            </w:r>
            <w:r>
              <w:rPr>
                <w:rFonts w:hint="eastAsia" w:asciiTheme="minorEastAsia" w:hAnsiTheme="minorEastAsia" w:eastAsiaTheme="minorEastAsia" w:cstheme="minorEastAsia"/>
                <w:szCs w:val="21"/>
              </w:rPr>
              <w:t>公司在环境与安全设施及预防方面上共投入资金约</w:t>
            </w:r>
            <w:r>
              <w:rPr>
                <w:rFonts w:hint="eastAsia" w:asciiTheme="minorEastAsia" w:hAnsiTheme="minorEastAsia" w:eastAsiaTheme="minorEastAsia" w:cstheme="minorEastAsia"/>
                <w:szCs w:val="21"/>
                <w:lang w:val="en-US" w:eastAsia="zh-CN"/>
              </w:rPr>
              <w:t>29406</w:t>
            </w:r>
            <w:r>
              <w:rPr>
                <w:rFonts w:hint="eastAsia" w:asciiTheme="minorEastAsia" w:hAnsiTheme="minorEastAsia" w:eastAsiaTheme="minorEastAsia" w:cstheme="minorEastAsia"/>
                <w:szCs w:val="21"/>
              </w:rPr>
              <w:t>余元，包括：灭火器</w:t>
            </w:r>
            <w:r>
              <w:rPr>
                <w:rFonts w:hint="eastAsia" w:asciiTheme="minorEastAsia" w:hAnsiTheme="minorEastAsia" w:eastAsiaTheme="minorEastAsia" w:cstheme="minorEastAsia"/>
                <w:szCs w:val="21"/>
                <w:lang w:val="en-US" w:eastAsia="zh-CN"/>
              </w:rPr>
              <w:t>等消防器材1000</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val="en-US" w:eastAsia="zh-CN"/>
              </w:rPr>
              <w:t>购买社保22356元、购买意外伤害险2000、环保/安全设施和标识500元、环境/安全法规培训1350元、应</w:t>
            </w:r>
            <w:r>
              <w:rPr>
                <w:rFonts w:hint="eastAsia" w:ascii="宋体" w:hAnsi="宋体"/>
                <w:szCs w:val="21"/>
                <w:lang w:val="en-US" w:eastAsia="zh-CN"/>
              </w:rPr>
              <w:t>急演练费用1200元</w:t>
            </w:r>
            <w:r>
              <w:rPr>
                <w:rFonts w:hint="eastAsia" w:ascii="宋体" w:hAnsi="宋体"/>
                <w:szCs w:val="21"/>
              </w:rPr>
              <w:t>等。</w:t>
            </w:r>
          </w:p>
        </w:tc>
        <w:tc>
          <w:tcPr>
            <w:tcW w:w="851" w:type="dxa"/>
          </w:tcPr>
          <w:p/>
          <w:p>
            <w:pPr>
              <w:pStyle w:val="2"/>
            </w:pPr>
          </w:p>
          <w:p>
            <w:pPr>
              <w:pStyle w:val="3"/>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ind w:left="0" w:leftChars="0" w:firstLine="0" w:firstLineChars="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应急准备和响应</w:t>
            </w:r>
          </w:p>
        </w:tc>
        <w:tc>
          <w:tcPr>
            <w:tcW w:w="992" w:type="dxa"/>
          </w:tcPr>
          <w:p>
            <w:pPr>
              <w:spacing w:line="400" w:lineRule="exact"/>
              <w:jc w:val="left"/>
              <w:textAlignment w:val="baseline"/>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b/>
                <w:bCs/>
                <w:szCs w:val="21"/>
              </w:rPr>
              <w:t>E</w:t>
            </w:r>
            <w:r>
              <w:rPr>
                <w:rFonts w:hint="eastAsia" w:asciiTheme="minorEastAsia" w:hAnsiTheme="minorEastAsia" w:eastAsiaTheme="minorEastAsia" w:cstheme="minorEastAsia"/>
                <w:b/>
                <w:bCs/>
                <w:szCs w:val="21"/>
                <w:lang w:val="en-US" w:eastAsia="zh-CN"/>
              </w:rPr>
              <w:t>O</w:t>
            </w:r>
            <w:r>
              <w:rPr>
                <w:rFonts w:hint="eastAsia" w:asciiTheme="minorEastAsia" w:hAnsiTheme="minorEastAsia" w:eastAsiaTheme="minorEastAsia" w:cstheme="minorEastAsia"/>
                <w:b/>
                <w:bCs/>
                <w:szCs w:val="21"/>
              </w:rPr>
              <w:t>：8.</w:t>
            </w:r>
            <w:r>
              <w:rPr>
                <w:rFonts w:hint="eastAsia" w:asciiTheme="minorEastAsia" w:hAnsiTheme="minorEastAsia" w:eastAsiaTheme="minorEastAsia" w:cstheme="minorEastAsia"/>
                <w:b/>
                <w:bCs/>
                <w:szCs w:val="21"/>
                <w:lang w:val="en-US" w:eastAsia="zh-CN"/>
              </w:rPr>
              <w:t>2</w:t>
            </w:r>
          </w:p>
        </w:tc>
        <w:tc>
          <w:tcPr>
            <w:tcW w:w="11198" w:type="dxa"/>
            <w:vAlign w:val="center"/>
          </w:tcPr>
          <w:p>
            <w:pPr>
              <w:spacing w:line="400" w:lineRule="exact"/>
              <w:rPr>
                <w:rFonts w:hint="eastAsia" w:asciiTheme="minorEastAsia" w:hAnsiTheme="minorEastAsia" w:eastAsiaTheme="minorEastAsia" w:cstheme="minorEastAsia"/>
                <w:szCs w:val="21"/>
              </w:rPr>
            </w:pPr>
            <w:r>
              <w:rPr>
                <w:rFonts w:hint="eastAsia" w:ascii="宋体" w:hAnsi="宋体" w:cs="宋体"/>
                <w:sz w:val="21"/>
                <w:szCs w:val="21"/>
                <w:lang w:val="en-US" w:eastAsia="zh-CN"/>
              </w:rPr>
              <w:t>应急准备和响应的组织工作有生产部负责实施，采购部参与应急准备和响应工作，具体情况参见生产部EO8.2</w:t>
            </w:r>
          </w:p>
        </w:tc>
        <w:tc>
          <w:tcPr>
            <w:tcW w:w="851" w:type="dxa"/>
          </w:tcPr>
          <w:p>
            <w:pPr>
              <w:pStyle w:val="2"/>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 xml:space="preserve"> y</w:t>
            </w:r>
          </w:p>
        </w:tc>
      </w:tr>
    </w:tbl>
    <w:p>
      <w:r>
        <w:rPr>
          <w:rFonts w:hint="eastAsia"/>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129A"/>
    <w:rsid w:val="00087D61"/>
    <w:rsid w:val="00092A67"/>
    <w:rsid w:val="000A10BB"/>
    <w:rsid w:val="000D59A4"/>
    <w:rsid w:val="001237C3"/>
    <w:rsid w:val="00123E1F"/>
    <w:rsid w:val="001A2D7F"/>
    <w:rsid w:val="00204C54"/>
    <w:rsid w:val="00287DBD"/>
    <w:rsid w:val="00303589"/>
    <w:rsid w:val="00337922"/>
    <w:rsid w:val="00340867"/>
    <w:rsid w:val="00345E4A"/>
    <w:rsid w:val="00380837"/>
    <w:rsid w:val="003A198A"/>
    <w:rsid w:val="003D7433"/>
    <w:rsid w:val="003E454C"/>
    <w:rsid w:val="00410914"/>
    <w:rsid w:val="00416C21"/>
    <w:rsid w:val="004C6F18"/>
    <w:rsid w:val="00506F35"/>
    <w:rsid w:val="00536930"/>
    <w:rsid w:val="00564E53"/>
    <w:rsid w:val="00593D6E"/>
    <w:rsid w:val="0063702C"/>
    <w:rsid w:val="00644FE2"/>
    <w:rsid w:val="00656D10"/>
    <w:rsid w:val="006652D7"/>
    <w:rsid w:val="0067640C"/>
    <w:rsid w:val="006A10D3"/>
    <w:rsid w:val="006A7063"/>
    <w:rsid w:val="006E678B"/>
    <w:rsid w:val="007757F3"/>
    <w:rsid w:val="007940A2"/>
    <w:rsid w:val="007A124B"/>
    <w:rsid w:val="007A4D60"/>
    <w:rsid w:val="007E5302"/>
    <w:rsid w:val="007E6AEB"/>
    <w:rsid w:val="00822C73"/>
    <w:rsid w:val="00850F21"/>
    <w:rsid w:val="00857C09"/>
    <w:rsid w:val="008973EE"/>
    <w:rsid w:val="008D3518"/>
    <w:rsid w:val="009224AE"/>
    <w:rsid w:val="009320C5"/>
    <w:rsid w:val="009529C4"/>
    <w:rsid w:val="00971600"/>
    <w:rsid w:val="009973B4"/>
    <w:rsid w:val="009A03C9"/>
    <w:rsid w:val="009C28C1"/>
    <w:rsid w:val="009E5543"/>
    <w:rsid w:val="009F6873"/>
    <w:rsid w:val="009F7EED"/>
    <w:rsid w:val="00A053D5"/>
    <w:rsid w:val="00A86C31"/>
    <w:rsid w:val="00AA304E"/>
    <w:rsid w:val="00AB6EA5"/>
    <w:rsid w:val="00AD2B66"/>
    <w:rsid w:val="00AE1950"/>
    <w:rsid w:val="00AF0AAB"/>
    <w:rsid w:val="00B510D2"/>
    <w:rsid w:val="00B64F6B"/>
    <w:rsid w:val="00B838D6"/>
    <w:rsid w:val="00BD1F40"/>
    <w:rsid w:val="00BE485C"/>
    <w:rsid w:val="00BF597E"/>
    <w:rsid w:val="00C51A36"/>
    <w:rsid w:val="00C55228"/>
    <w:rsid w:val="00C93066"/>
    <w:rsid w:val="00CE315A"/>
    <w:rsid w:val="00D06F59"/>
    <w:rsid w:val="00D21EB8"/>
    <w:rsid w:val="00D668AA"/>
    <w:rsid w:val="00D76411"/>
    <w:rsid w:val="00D8388C"/>
    <w:rsid w:val="00D91C90"/>
    <w:rsid w:val="00DF01F0"/>
    <w:rsid w:val="00DF40B1"/>
    <w:rsid w:val="00E07DAA"/>
    <w:rsid w:val="00E30D15"/>
    <w:rsid w:val="00E3102D"/>
    <w:rsid w:val="00E62D48"/>
    <w:rsid w:val="00EB0164"/>
    <w:rsid w:val="00ED0F62"/>
    <w:rsid w:val="00F50515"/>
    <w:rsid w:val="00F852D2"/>
    <w:rsid w:val="01B3747B"/>
    <w:rsid w:val="096F713A"/>
    <w:rsid w:val="10662B36"/>
    <w:rsid w:val="108219C2"/>
    <w:rsid w:val="11F73F66"/>
    <w:rsid w:val="14FB4155"/>
    <w:rsid w:val="156C036F"/>
    <w:rsid w:val="196C7839"/>
    <w:rsid w:val="1B056D63"/>
    <w:rsid w:val="1D357D08"/>
    <w:rsid w:val="27BF65C0"/>
    <w:rsid w:val="33376D5E"/>
    <w:rsid w:val="3A707020"/>
    <w:rsid w:val="3E787181"/>
    <w:rsid w:val="3F6F234A"/>
    <w:rsid w:val="489A45D9"/>
    <w:rsid w:val="4A46414C"/>
    <w:rsid w:val="4CB3069F"/>
    <w:rsid w:val="5EA12B9A"/>
    <w:rsid w:val="752C6330"/>
    <w:rsid w:val="7FC631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167</Words>
  <Characters>957</Characters>
  <Lines>7</Lines>
  <Paragraphs>2</Paragraphs>
  <TotalTime>7</TotalTime>
  <ScaleCrop>false</ScaleCrop>
  <LinksUpToDate>false</LinksUpToDate>
  <CharactersWithSpaces>1122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2019-09-09T06:45:00Z</dcterms:created>
  <dc:creator>微软用户</dc:creator>
  <cp:lastModifiedBy>Lenovo</cp:lastModifiedBy>
  <dcterms:modified xsi:type="dcterms:W3CDTF">2021-10-12T07:19:11Z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AD41B11E8EE94BB789B9089A8EE1B793</vt:lpwstr>
  </property>
</Properties>
</file>