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27"/>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27"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采购部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lang w:val="en-US" w:eastAsia="zh-CN"/>
              </w:rPr>
              <w:t>王飞燕</w:t>
            </w:r>
            <w:r>
              <w:rPr>
                <w:rFonts w:hint="eastAsia"/>
                <w:sz w:val="24"/>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李玉平</w:t>
            </w:r>
          </w:p>
        </w:tc>
        <w:tc>
          <w:tcPr>
            <w:tcW w:w="76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27" w:type="dxa"/>
            <w:vAlign w:val="center"/>
          </w:tcPr>
          <w:p>
            <w:pPr>
              <w:rPr>
                <w:rFonts w:hint="default" w:eastAsia="宋体"/>
                <w:sz w:val="24"/>
                <w:szCs w:val="24"/>
                <w:lang w:val="en-US" w:eastAsia="zh-CN"/>
              </w:rPr>
            </w:pPr>
            <w:r>
              <w:rPr>
                <w:rFonts w:hint="eastAsia"/>
                <w:sz w:val="24"/>
                <w:szCs w:val="24"/>
              </w:rPr>
              <w:t>审核员：</w:t>
            </w:r>
            <w:r>
              <w:rPr>
                <w:rFonts w:hint="eastAsia"/>
                <w:sz w:val="24"/>
                <w:szCs w:val="24"/>
                <w:lang w:eastAsia="zh-CN"/>
              </w:rPr>
              <w:t>周涛（</w:t>
            </w:r>
            <w:r>
              <w:rPr>
                <w:rFonts w:hint="eastAsia"/>
                <w:sz w:val="24"/>
                <w:szCs w:val="24"/>
                <w:lang w:val="en-US" w:eastAsia="zh-CN"/>
              </w:rPr>
              <w:t>EO</w:t>
            </w:r>
            <w:r>
              <w:rPr>
                <w:rFonts w:hint="eastAsia"/>
                <w:sz w:val="24"/>
                <w:szCs w:val="24"/>
                <w:lang w:eastAsia="zh-CN"/>
              </w:rPr>
              <w:t>）</w:t>
            </w:r>
            <w:r>
              <w:rPr>
                <w:rFonts w:hint="eastAsia"/>
                <w:sz w:val="24"/>
                <w:szCs w:val="24"/>
              </w:rPr>
              <w:t xml:space="preserve">  </w:t>
            </w:r>
            <w:r>
              <w:rPr>
                <w:rFonts w:hint="eastAsia"/>
                <w:sz w:val="24"/>
                <w:szCs w:val="24"/>
                <w:lang w:val="en-US" w:eastAsia="zh-CN"/>
              </w:rPr>
              <w:t>杨庆（Q）</w:t>
            </w:r>
            <w:r>
              <w:rPr>
                <w:rFonts w:hint="eastAsia"/>
                <w:sz w:val="24"/>
                <w:szCs w:val="24"/>
              </w:rPr>
              <w:t xml:space="preserve">              审</w:t>
            </w:r>
            <w:r>
              <w:rPr>
                <w:rFonts w:hint="eastAsia" w:ascii="宋体" w:hAnsi="宋体" w:cs="宋体"/>
                <w:sz w:val="24"/>
                <w:szCs w:val="24"/>
              </w:rPr>
              <w:t>核时间：202</w:t>
            </w:r>
            <w:r>
              <w:rPr>
                <w:rFonts w:hint="eastAsia" w:ascii="宋体" w:hAnsi="宋体" w:cs="宋体"/>
                <w:sz w:val="24"/>
                <w:szCs w:val="24"/>
                <w:lang w:val="en-US" w:eastAsia="zh-CN"/>
              </w:rPr>
              <w:t>1</w:t>
            </w:r>
            <w:r>
              <w:rPr>
                <w:rFonts w:hint="eastAsia" w:ascii="宋体" w:hAnsi="宋体" w:cs="宋体"/>
                <w:sz w:val="24"/>
                <w:szCs w:val="24"/>
              </w:rPr>
              <w:t>.</w:t>
            </w:r>
            <w:r>
              <w:rPr>
                <w:rFonts w:hint="eastAsia" w:ascii="宋体" w:hAnsi="宋体" w:cs="宋体"/>
                <w:sz w:val="24"/>
                <w:szCs w:val="24"/>
                <w:lang w:val="en-US" w:eastAsia="zh-CN"/>
              </w:rPr>
              <w:t>10</w:t>
            </w:r>
            <w:r>
              <w:rPr>
                <w:rFonts w:hint="eastAsia" w:ascii="宋体" w:hAnsi="宋体" w:cs="宋体"/>
                <w:sz w:val="24"/>
                <w:szCs w:val="24"/>
              </w:rPr>
              <w:t>.</w:t>
            </w:r>
            <w:r>
              <w:rPr>
                <w:rFonts w:hint="eastAsia" w:ascii="宋体" w:hAnsi="宋体" w:cs="宋体"/>
                <w:sz w:val="24"/>
                <w:szCs w:val="24"/>
                <w:lang w:val="en-US" w:eastAsia="zh-CN"/>
              </w:rPr>
              <w:t>12</w:t>
            </w:r>
          </w:p>
        </w:tc>
        <w:tc>
          <w:tcPr>
            <w:tcW w:w="76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27" w:type="dxa"/>
            <w:vAlign w:val="center"/>
          </w:tcPr>
          <w:p>
            <w:pPr>
              <w:snapToGrid w:val="0"/>
              <w:spacing w:line="260" w:lineRule="exact"/>
              <w:ind w:left="1200" w:hanging="1200" w:hangingChars="500"/>
              <w:rPr>
                <w:rFonts w:hint="default" w:ascii="楷体" w:hAnsi="楷体" w:eastAsia="楷体"/>
                <w:sz w:val="21"/>
                <w:szCs w:val="21"/>
                <w:lang w:val="en-US" w:eastAsia="zh-CN"/>
              </w:rPr>
            </w:pPr>
            <w:r>
              <w:rPr>
                <w:rFonts w:hint="eastAsia"/>
                <w:sz w:val="24"/>
                <w:szCs w:val="24"/>
                <w:lang w:val="en-US" w:eastAsia="zh-CN"/>
              </w:rPr>
              <w:t>审核条款：</w:t>
            </w:r>
            <w:r>
              <w:rPr>
                <w:rFonts w:hint="eastAsia" w:ascii="楷体" w:hAnsi="楷体" w:eastAsia="楷体"/>
                <w:sz w:val="21"/>
                <w:szCs w:val="21"/>
              </w:rPr>
              <w:t>Q:5.3</w:t>
            </w:r>
            <w:r>
              <w:rPr>
                <w:rFonts w:hint="eastAsia" w:ascii="楷体" w:hAnsi="楷体" w:eastAsia="楷体"/>
                <w:sz w:val="21"/>
                <w:szCs w:val="21"/>
                <w:lang w:eastAsia="zh-CN"/>
              </w:rPr>
              <w:t>、</w:t>
            </w:r>
            <w:r>
              <w:rPr>
                <w:rFonts w:hint="eastAsia" w:ascii="楷体" w:hAnsi="楷体" w:eastAsia="楷体"/>
                <w:sz w:val="21"/>
                <w:szCs w:val="21"/>
                <w:lang w:val="en-US" w:eastAsia="zh-CN"/>
              </w:rPr>
              <w:t>6.2</w:t>
            </w:r>
            <w:r>
              <w:rPr>
                <w:rFonts w:hint="eastAsia" w:ascii="楷体" w:hAnsi="楷体" w:eastAsia="楷体"/>
                <w:sz w:val="21"/>
                <w:szCs w:val="21"/>
                <w:lang w:eastAsia="zh-CN"/>
              </w:rPr>
              <w:t>、</w:t>
            </w:r>
            <w:r>
              <w:rPr>
                <w:rFonts w:hint="eastAsia" w:ascii="楷体" w:hAnsi="楷体" w:eastAsia="楷体"/>
                <w:sz w:val="21"/>
                <w:szCs w:val="21"/>
              </w:rPr>
              <w:t>8.4</w:t>
            </w:r>
            <w:r>
              <w:rPr>
                <w:rFonts w:hint="eastAsia" w:ascii="楷体" w:hAnsi="楷体" w:eastAsia="楷体"/>
                <w:sz w:val="21"/>
                <w:szCs w:val="21"/>
                <w:lang w:eastAsia="zh-CN"/>
              </w:rPr>
              <w:t>、</w:t>
            </w:r>
            <w:r>
              <w:rPr>
                <w:rFonts w:hint="eastAsia" w:ascii="楷体" w:hAnsi="楷体" w:eastAsia="楷体"/>
                <w:sz w:val="21"/>
                <w:szCs w:val="21"/>
              </w:rPr>
              <w:t>8.5.3</w:t>
            </w:r>
            <w:r>
              <w:rPr>
                <w:rFonts w:hint="eastAsia" w:ascii="楷体" w:hAnsi="楷体" w:eastAsia="楷体"/>
                <w:sz w:val="21"/>
                <w:szCs w:val="21"/>
                <w:lang w:eastAsia="zh-CN"/>
              </w:rPr>
              <w:t>、</w:t>
            </w:r>
            <w:r>
              <w:rPr>
                <w:rFonts w:hint="eastAsia" w:ascii="楷体" w:hAnsi="楷体" w:eastAsia="楷体"/>
                <w:sz w:val="21"/>
                <w:szCs w:val="21"/>
              </w:rPr>
              <w:t>8.5.5、7.1.3、7.1.4、8.5.2、8.5.4， 8.1、8.3、8.5.</w:t>
            </w:r>
            <w:r>
              <w:rPr>
                <w:rFonts w:hint="eastAsia" w:ascii="楷体" w:hAnsi="楷体" w:eastAsia="楷体"/>
                <w:sz w:val="21"/>
                <w:szCs w:val="21"/>
                <w:lang w:val="en-US" w:eastAsia="zh-CN"/>
              </w:rPr>
              <w:t>2-</w:t>
            </w:r>
            <w:r>
              <w:rPr>
                <w:rFonts w:hint="eastAsia" w:ascii="楷体" w:hAnsi="楷体" w:eastAsia="楷体"/>
                <w:sz w:val="21"/>
                <w:szCs w:val="21"/>
              </w:rPr>
              <w:t>8.5.6</w:t>
            </w:r>
            <w:r>
              <w:rPr>
                <w:rFonts w:hint="eastAsia" w:ascii="楷体" w:hAnsi="楷体" w:eastAsia="楷体"/>
                <w:sz w:val="21"/>
                <w:szCs w:val="21"/>
                <w:lang w:eastAsia="zh-CN"/>
              </w:rPr>
              <w:t>、</w:t>
            </w:r>
            <w:r>
              <w:rPr>
                <w:rFonts w:hint="eastAsia" w:ascii="楷体" w:hAnsi="楷体" w:eastAsia="楷体"/>
                <w:sz w:val="21"/>
                <w:szCs w:val="21"/>
                <w:lang w:val="en-US" w:eastAsia="zh-CN"/>
              </w:rPr>
              <w:t>8.6、8.7；</w:t>
            </w:r>
          </w:p>
          <w:p>
            <w:pPr>
              <w:ind w:firstLine="1260" w:firstLineChars="600"/>
              <w:rPr>
                <w:rFonts w:hint="default" w:eastAsia="宋体"/>
                <w:sz w:val="24"/>
                <w:szCs w:val="24"/>
                <w:lang w:val="en-US" w:eastAsia="zh-CN"/>
              </w:rPr>
            </w:pPr>
            <w:r>
              <w:rPr>
                <w:rFonts w:hint="eastAsia" w:ascii="楷体" w:hAnsi="楷体" w:eastAsia="楷体"/>
                <w:sz w:val="21"/>
                <w:szCs w:val="21"/>
              </w:rPr>
              <w:t>E/S:5.3</w:t>
            </w:r>
            <w:r>
              <w:rPr>
                <w:rFonts w:hint="eastAsia" w:ascii="楷体" w:hAnsi="楷体" w:eastAsia="楷体"/>
                <w:sz w:val="21"/>
                <w:szCs w:val="21"/>
                <w:lang w:eastAsia="zh-CN"/>
              </w:rPr>
              <w:t>、</w:t>
            </w:r>
            <w:r>
              <w:rPr>
                <w:rFonts w:hint="eastAsia" w:ascii="楷体" w:hAnsi="楷体" w:eastAsia="楷体"/>
                <w:sz w:val="21"/>
                <w:szCs w:val="21"/>
              </w:rPr>
              <w:t>6.1.2</w:t>
            </w:r>
            <w:r>
              <w:rPr>
                <w:rFonts w:hint="eastAsia" w:ascii="楷体" w:hAnsi="楷体" w:eastAsia="楷体"/>
                <w:sz w:val="21"/>
                <w:szCs w:val="21"/>
                <w:lang w:eastAsia="zh-CN"/>
              </w:rPr>
              <w:t>、</w:t>
            </w:r>
            <w:r>
              <w:rPr>
                <w:rFonts w:hint="eastAsia" w:ascii="楷体" w:hAnsi="楷体" w:eastAsia="楷体"/>
                <w:sz w:val="21"/>
                <w:szCs w:val="21"/>
                <w:lang w:val="en-US" w:eastAsia="zh-CN"/>
              </w:rPr>
              <w:t>6.2、</w:t>
            </w:r>
            <w:r>
              <w:rPr>
                <w:rFonts w:hint="eastAsia" w:ascii="楷体" w:hAnsi="楷体" w:eastAsia="楷体"/>
                <w:sz w:val="21"/>
                <w:szCs w:val="21"/>
              </w:rPr>
              <w:t>8.1</w:t>
            </w:r>
            <w:r>
              <w:rPr>
                <w:rFonts w:hint="eastAsia" w:ascii="楷体" w:hAnsi="楷体" w:eastAsia="楷体"/>
                <w:sz w:val="21"/>
                <w:szCs w:val="21"/>
                <w:lang w:eastAsia="zh-CN"/>
              </w:rPr>
              <w:t>、</w:t>
            </w:r>
            <w:r>
              <w:rPr>
                <w:rFonts w:hint="eastAsia" w:ascii="楷体" w:hAnsi="楷体" w:eastAsia="楷体"/>
                <w:sz w:val="21"/>
                <w:szCs w:val="21"/>
              </w:rPr>
              <w:t xml:space="preserve">8.2， </w:t>
            </w:r>
          </w:p>
        </w:tc>
        <w:tc>
          <w:tcPr>
            <w:tcW w:w="76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楷体" w:hAnsi="楷体" w:eastAsia="楷体"/>
                <w:szCs w:val="24"/>
              </w:rPr>
              <w:t>组织的岗位、职责、和权限</w:t>
            </w:r>
          </w:p>
        </w:tc>
        <w:tc>
          <w:tcPr>
            <w:tcW w:w="960" w:type="dxa"/>
          </w:tcPr>
          <w:p>
            <w:r>
              <w:rPr>
                <w:rFonts w:hint="eastAsia" w:ascii="楷体" w:hAnsi="楷体" w:eastAsia="楷体"/>
                <w:szCs w:val="24"/>
              </w:rPr>
              <w:t xml:space="preserve">Q/E/S：5.3 </w:t>
            </w:r>
          </w:p>
        </w:tc>
        <w:tc>
          <w:tcPr>
            <w:tcW w:w="10827" w:type="dxa"/>
          </w:tcPr>
          <w:p>
            <w:pPr>
              <w:spacing w:line="360" w:lineRule="auto"/>
              <w:ind w:firstLine="420" w:firstLineChars="200"/>
              <w:rPr>
                <w:rFonts w:hint="eastAsia" w:ascii="楷体" w:hAnsi="楷体" w:eastAsia="楷体" w:cs="宋体"/>
                <w:szCs w:val="24"/>
              </w:rPr>
            </w:pPr>
            <w:r>
              <w:rPr>
                <w:rFonts w:hint="eastAsia" w:ascii="楷体" w:hAnsi="楷体" w:eastAsia="楷体" w:cs="宋体"/>
                <w:szCs w:val="24"/>
              </w:rPr>
              <w:t>部门工作职责、责任和权限在组织编制的管理手册中予以确定。主要是采购管理控制，供方选择及能力评价与调查，本部门环境因素和危险源识别和控制，本部门目标制定与实施，与相关方做好沟通，对供方环境、职业健康安全因素等进行控制或施加影响等。</w:t>
            </w:r>
          </w:p>
          <w:p>
            <w:pPr>
              <w:spacing w:line="360" w:lineRule="auto"/>
              <w:ind w:firstLine="420" w:firstLineChars="200"/>
              <w:rPr>
                <w:rFonts w:hint="eastAsia" w:ascii="楷体" w:hAnsi="楷体" w:eastAsia="楷体" w:cs="宋体"/>
                <w:szCs w:val="24"/>
              </w:rPr>
            </w:pPr>
            <w:r>
              <w:rPr>
                <w:rFonts w:hint="eastAsia" w:ascii="楷体" w:hAnsi="楷体" w:eastAsia="楷体" w:cs="宋体"/>
                <w:szCs w:val="24"/>
              </w:rPr>
              <w:t>未发现因职责不清责任不明而造成体系运行失效的情况。</w:t>
            </w:r>
          </w:p>
        </w:tc>
        <w:tc>
          <w:tcPr>
            <w:tcW w:w="762" w:type="dxa"/>
          </w:tcPr>
          <w:p>
            <w:pPr>
              <w:rPr>
                <w:rFonts w:hint="eastAsia" w:ascii="宋体" w:hAnsi="宋体" w:cs="Arial"/>
                <w:spacing w:val="-6"/>
                <w:szCs w:val="21"/>
                <w:lang w:val="en-US" w:eastAsia="zh-CN"/>
              </w:rPr>
            </w:pPr>
          </w:p>
          <w:p>
            <w:pPr>
              <w:rPr>
                <w:rFonts w:hint="eastAsia" w:ascii="宋体" w:hAnsi="宋体" w:cs="Arial"/>
                <w:spacing w:val="-6"/>
                <w:szCs w:val="21"/>
                <w:lang w:val="en-US" w:eastAsia="zh-CN"/>
              </w:rPr>
            </w:pPr>
          </w:p>
          <w:p>
            <w:pPr>
              <w:ind w:firstLine="198" w:firstLineChars="100"/>
              <w:rPr>
                <w:rFonts w:hint="eastAsia" w:eastAsia="宋体"/>
                <w:lang w:eastAsia="zh-CN"/>
              </w:rPr>
            </w:pPr>
            <w:r>
              <w:rPr>
                <w:rFonts w:hint="eastAsia" w:ascii="宋体" w:hAnsi="宋体" w:cs="Arial"/>
                <w:spacing w:val="-6"/>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楷体" w:hAnsi="楷体" w:eastAsia="楷体"/>
                <w:szCs w:val="24"/>
                <w:lang w:val="en-US" w:eastAsia="zh-CN"/>
              </w:rPr>
            </w:pPr>
            <w:r>
              <w:rPr>
                <w:rFonts w:hint="eastAsia" w:ascii="楷体" w:hAnsi="楷体" w:eastAsia="楷体"/>
                <w:szCs w:val="24"/>
                <w:lang w:val="en-US" w:eastAsia="zh-CN"/>
              </w:rPr>
              <w:t>管理目标</w:t>
            </w:r>
          </w:p>
        </w:tc>
        <w:tc>
          <w:tcPr>
            <w:tcW w:w="960" w:type="dxa"/>
          </w:tcPr>
          <w:p>
            <w:pPr>
              <w:rPr>
                <w:rFonts w:hint="default" w:ascii="楷体" w:hAnsi="楷体" w:eastAsia="楷体"/>
                <w:szCs w:val="24"/>
                <w:lang w:val="en-US" w:eastAsia="zh-CN"/>
              </w:rPr>
            </w:pPr>
            <w:r>
              <w:rPr>
                <w:rFonts w:hint="eastAsia" w:ascii="楷体" w:hAnsi="楷体" w:eastAsia="楷体"/>
                <w:szCs w:val="24"/>
              </w:rPr>
              <w:t>Q/E/S：</w:t>
            </w:r>
            <w:r>
              <w:rPr>
                <w:rFonts w:hint="eastAsia" w:ascii="楷体" w:hAnsi="楷体" w:eastAsia="楷体"/>
                <w:szCs w:val="24"/>
                <w:lang w:val="en-US" w:eastAsia="zh-CN"/>
              </w:rPr>
              <w:t>6.2</w:t>
            </w:r>
          </w:p>
        </w:tc>
        <w:tc>
          <w:tcPr>
            <w:tcW w:w="10827" w:type="dxa"/>
          </w:tcPr>
          <w:p>
            <w:pPr>
              <w:spacing w:line="360" w:lineRule="auto"/>
              <w:ind w:firstLine="420" w:firstLineChars="200"/>
              <w:rPr>
                <w:rFonts w:hint="eastAsia" w:ascii="楷体" w:hAnsi="楷体" w:eastAsia="楷体" w:cs="宋体"/>
                <w:szCs w:val="24"/>
                <w:lang w:val="en-US" w:eastAsia="zh-CN"/>
              </w:rPr>
            </w:pPr>
            <w:r>
              <w:rPr>
                <w:rFonts w:hint="eastAsia" w:ascii="楷体" w:hAnsi="楷体" w:eastAsia="楷体" w:cs="宋体"/>
                <w:szCs w:val="24"/>
                <w:lang w:val="en-US" w:eastAsia="zh-CN"/>
              </w:rPr>
              <w:t xml:space="preserve">序号      项目               目标              完成情况  </w:t>
            </w:r>
          </w:p>
          <w:p>
            <w:pPr>
              <w:spacing w:line="360" w:lineRule="auto"/>
              <w:ind w:firstLine="420" w:firstLineChars="200"/>
              <w:rPr>
                <w:rFonts w:hint="eastAsia" w:ascii="楷体" w:hAnsi="楷体" w:eastAsia="楷体" w:cs="宋体"/>
                <w:szCs w:val="24"/>
                <w:lang w:val="en-US" w:eastAsia="zh-CN"/>
              </w:rPr>
            </w:pPr>
            <w:r>
              <w:rPr>
                <w:rFonts w:hint="eastAsia" w:ascii="楷体" w:hAnsi="楷体" w:eastAsia="楷体" w:cs="宋体"/>
                <w:szCs w:val="24"/>
                <w:lang w:val="en-US" w:eastAsia="zh-CN"/>
              </w:rPr>
              <w:t>1 、</w:t>
            </w:r>
            <w:r>
              <w:rPr>
                <w:rFonts w:hint="eastAsia" w:ascii="楷体" w:hAnsi="楷体" w:eastAsia="楷体" w:cs="宋体"/>
                <w:szCs w:val="24"/>
              </w:rPr>
              <w:t>合格供方评价率</w:t>
            </w:r>
            <w:r>
              <w:rPr>
                <w:rFonts w:hint="eastAsia" w:ascii="楷体" w:hAnsi="楷体" w:eastAsia="楷体" w:cs="宋体"/>
                <w:szCs w:val="24"/>
                <w:lang w:val="en-US" w:eastAsia="zh-CN"/>
              </w:rPr>
              <w:t xml:space="preserve">          </w:t>
            </w:r>
            <w:r>
              <w:rPr>
                <w:rFonts w:hint="eastAsia" w:ascii="楷体" w:hAnsi="楷体" w:eastAsia="楷体" w:cs="宋体"/>
                <w:szCs w:val="24"/>
              </w:rPr>
              <w:t>100%</w:t>
            </w:r>
            <w:r>
              <w:rPr>
                <w:rFonts w:hint="eastAsia" w:ascii="楷体" w:hAnsi="楷体" w:eastAsia="楷体" w:cs="宋体"/>
                <w:szCs w:val="24"/>
                <w:lang w:val="en-US" w:eastAsia="zh-CN"/>
              </w:rPr>
              <w:t xml:space="preserve">                 100%</w:t>
            </w:r>
          </w:p>
          <w:p>
            <w:pPr>
              <w:numPr>
                <w:ilvl w:val="0"/>
                <w:numId w:val="1"/>
              </w:numPr>
              <w:spacing w:line="360" w:lineRule="auto"/>
              <w:ind w:firstLine="420" w:firstLineChars="200"/>
              <w:rPr>
                <w:rFonts w:hint="eastAsia" w:ascii="楷体" w:hAnsi="楷体" w:eastAsia="楷体" w:cs="宋体"/>
                <w:szCs w:val="24"/>
                <w:lang w:val="en-US" w:eastAsia="zh-CN"/>
              </w:rPr>
            </w:pPr>
            <w:r>
              <w:rPr>
                <w:rFonts w:hint="eastAsia" w:ascii="楷体" w:hAnsi="楷体" w:eastAsia="楷体" w:cs="宋体"/>
                <w:szCs w:val="24"/>
                <w:lang w:val="en-US" w:eastAsia="zh-CN"/>
              </w:rPr>
              <w:t>固废处理率               100%                 100%</w:t>
            </w:r>
          </w:p>
          <w:p>
            <w:pPr>
              <w:numPr>
                <w:ilvl w:val="0"/>
                <w:numId w:val="1"/>
              </w:numPr>
              <w:spacing w:line="360" w:lineRule="auto"/>
              <w:ind w:firstLine="420" w:firstLineChars="200"/>
              <w:rPr>
                <w:rFonts w:hint="default" w:ascii="楷体" w:hAnsi="楷体" w:eastAsia="楷体" w:cs="宋体"/>
                <w:szCs w:val="24"/>
                <w:lang w:val="en-US" w:eastAsia="zh-CN"/>
              </w:rPr>
            </w:pPr>
            <w:r>
              <w:rPr>
                <w:rFonts w:hint="eastAsia" w:ascii="楷体" w:hAnsi="楷体" w:eastAsia="楷体" w:cs="宋体"/>
                <w:szCs w:val="24"/>
                <w:lang w:val="en-US" w:eastAsia="zh-CN"/>
              </w:rPr>
              <w:t>职业健康安全事故率        0                     0</w:t>
            </w:r>
          </w:p>
          <w:p>
            <w:pPr>
              <w:numPr>
                <w:ilvl w:val="0"/>
                <w:numId w:val="0"/>
              </w:numPr>
              <w:spacing w:line="360" w:lineRule="auto"/>
              <w:rPr>
                <w:rFonts w:hint="default" w:ascii="楷体" w:hAnsi="楷体" w:eastAsia="楷体" w:cs="宋体"/>
                <w:szCs w:val="24"/>
                <w:lang w:val="en-US" w:eastAsia="zh-CN"/>
              </w:rPr>
            </w:pPr>
            <w:r>
              <w:rPr>
                <w:rFonts w:hint="eastAsia" w:ascii="楷体" w:hAnsi="楷体" w:eastAsia="楷体" w:cs="宋体"/>
                <w:szCs w:val="24"/>
                <w:lang w:val="en-US" w:eastAsia="zh-CN"/>
              </w:rPr>
              <w:t xml:space="preserve">经检查，目标完成情况较好，有环境和职业健康安全管理方案。 </w:t>
            </w:r>
          </w:p>
        </w:tc>
        <w:tc>
          <w:tcPr>
            <w:tcW w:w="762" w:type="dxa"/>
          </w:tcPr>
          <w:p>
            <w:pPr>
              <w:ind w:firstLine="210" w:firstLineChars="100"/>
              <w:rPr>
                <w:rFonts w:hint="eastAsia"/>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default" w:ascii="宋体" w:hAnsi="宋体" w:cs="Arial"/>
                <w:spacing w:val="-6"/>
                <w:szCs w:val="21"/>
                <w:lang w:val="en-US" w:eastAsia="zh-CN"/>
              </w:rPr>
            </w:pPr>
            <w:r>
              <w:rPr>
                <w:rFonts w:hint="eastAsia" w:ascii="宋体" w:hAnsi="宋体" w:cs="Arial"/>
                <w:spacing w:val="-6"/>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160" w:type="dxa"/>
          </w:tcPr>
          <w:p>
            <w:pPr>
              <w:rPr>
                <w:rFonts w:hint="eastAsia" w:ascii="楷体" w:hAnsi="楷体" w:eastAsia="楷体"/>
                <w:szCs w:val="24"/>
              </w:rPr>
            </w:pPr>
            <w:r>
              <w:rPr>
                <w:rFonts w:hint="eastAsia" w:ascii="楷体" w:hAnsi="楷体" w:eastAsia="楷体" w:cs="Arial"/>
                <w:szCs w:val="24"/>
              </w:rPr>
              <w:t>基础设施</w:t>
            </w:r>
          </w:p>
        </w:tc>
        <w:tc>
          <w:tcPr>
            <w:tcW w:w="960" w:type="dxa"/>
          </w:tcPr>
          <w:p>
            <w:pPr>
              <w:rPr>
                <w:rFonts w:hint="eastAsia" w:ascii="楷体" w:hAnsi="楷体" w:eastAsia="楷体"/>
                <w:szCs w:val="24"/>
              </w:rPr>
            </w:pPr>
            <w:r>
              <w:rPr>
                <w:rFonts w:hint="eastAsia" w:ascii="楷体" w:hAnsi="楷体" w:eastAsia="楷体" w:cs="Arial"/>
                <w:szCs w:val="24"/>
              </w:rPr>
              <w:t>Q：7.1.3</w:t>
            </w:r>
          </w:p>
        </w:tc>
        <w:tc>
          <w:tcPr>
            <w:tcW w:w="10827" w:type="dxa"/>
            <w:vAlign w:val="top"/>
          </w:tcPr>
          <w:p>
            <w:pPr>
              <w:spacing w:line="360" w:lineRule="auto"/>
              <w:ind w:firstLine="420" w:firstLineChars="200"/>
              <w:rPr>
                <w:rFonts w:hint="eastAsia" w:ascii="楷体" w:hAnsi="楷体" w:eastAsia="楷体"/>
                <w:szCs w:val="24"/>
              </w:rPr>
            </w:pPr>
            <w:r>
              <w:rPr>
                <w:rFonts w:hint="eastAsia" w:ascii="楷体" w:hAnsi="楷体" w:eastAsia="楷体"/>
                <w:szCs w:val="24"/>
              </w:rPr>
              <w:t>管理手册对公司的产品</w:t>
            </w:r>
            <w:r>
              <w:rPr>
                <w:rFonts w:hint="eastAsia" w:ascii="楷体" w:hAnsi="楷体" w:eastAsia="楷体"/>
                <w:szCs w:val="24"/>
                <w:lang w:val="en-US" w:eastAsia="zh-CN"/>
              </w:rPr>
              <w:t>采购</w:t>
            </w:r>
            <w:r>
              <w:rPr>
                <w:rFonts w:hint="eastAsia" w:ascii="楷体" w:hAnsi="楷体" w:eastAsia="楷体"/>
                <w:szCs w:val="24"/>
              </w:rPr>
              <w:t>所适用的设备设施和工作环境进行了规定。组织对从事质量活动人员提供相应的设施，以确保满足产品要求的符合性。</w:t>
            </w:r>
          </w:p>
          <w:p>
            <w:pPr>
              <w:spacing w:line="360" w:lineRule="auto"/>
              <w:ind w:firstLine="420" w:firstLineChars="200"/>
              <w:rPr>
                <w:rFonts w:hint="eastAsia" w:ascii="楷体" w:hAnsi="楷体" w:eastAsia="楷体"/>
                <w:szCs w:val="24"/>
              </w:rPr>
            </w:pPr>
            <w:r>
              <w:rPr>
                <w:rFonts w:hint="eastAsia" w:ascii="楷体" w:hAnsi="楷体" w:eastAsia="楷体"/>
                <w:szCs w:val="24"/>
              </w:rPr>
              <w:t>1.现场审核基础设施主要包括：办公室、办公桌椅、档案橱、空调、电话、电脑、打印机、无线WIFI网络等设施。</w:t>
            </w:r>
          </w:p>
          <w:p>
            <w:pPr>
              <w:spacing w:line="360" w:lineRule="auto"/>
              <w:ind w:firstLine="420" w:firstLineChars="200"/>
              <w:rPr>
                <w:rFonts w:hint="eastAsia" w:ascii="楷体" w:hAnsi="楷体" w:eastAsia="楷体"/>
                <w:szCs w:val="24"/>
              </w:rPr>
            </w:pPr>
            <w:r>
              <w:rPr>
                <w:rFonts w:hint="eastAsia" w:ascii="楷体" w:hAnsi="楷体" w:eastAsia="楷体"/>
                <w:szCs w:val="24"/>
              </w:rPr>
              <w:t>2.查设备保养：负责人介绍了设备管理相关要求，提供了《基础设施维护保养计划》，将电脑、电话/传真、打印机/复印机、空调等设备均列入了计划中，规定了保养项目、保养频率、负责人等。</w:t>
            </w:r>
          </w:p>
          <w:p>
            <w:pPr>
              <w:spacing w:line="360" w:lineRule="auto"/>
              <w:ind w:firstLine="420" w:firstLineChars="200"/>
              <w:rPr>
                <w:rFonts w:hint="eastAsia" w:ascii="楷体" w:hAnsi="楷体" w:eastAsia="楷体"/>
                <w:szCs w:val="24"/>
              </w:rPr>
            </w:pPr>
            <w:r>
              <w:rPr>
                <w:rFonts w:hint="eastAsia" w:ascii="楷体" w:hAnsi="楷体" w:eastAsia="楷体"/>
                <w:szCs w:val="24"/>
              </w:rPr>
              <w:t>日常对办公设备进行清洁保养，定期杀毒和系统升级，发生故障时联系当地供应商进行维修。</w:t>
            </w:r>
          </w:p>
          <w:p>
            <w:pPr>
              <w:spacing w:line="360" w:lineRule="auto"/>
              <w:ind w:firstLine="420" w:firstLineChars="200"/>
              <w:rPr>
                <w:rFonts w:hint="eastAsia" w:ascii="楷体" w:hAnsi="楷体" w:eastAsia="楷体"/>
                <w:szCs w:val="24"/>
              </w:rPr>
            </w:pPr>
            <w:r>
              <w:rPr>
                <w:rFonts w:hint="eastAsia" w:ascii="楷体" w:hAnsi="楷体" w:eastAsia="楷体"/>
                <w:szCs w:val="24"/>
              </w:rPr>
              <w:t>3. 查特种设备：经确认，目前无特种设备。</w:t>
            </w:r>
          </w:p>
          <w:p>
            <w:pPr>
              <w:spacing w:line="360" w:lineRule="auto"/>
              <w:ind w:firstLine="420" w:firstLineChars="200"/>
              <w:rPr>
                <w:rFonts w:hint="eastAsia" w:ascii="楷体" w:hAnsi="楷体" w:eastAsia="楷体"/>
                <w:szCs w:val="24"/>
              </w:rPr>
            </w:pPr>
            <w:r>
              <w:rPr>
                <w:rFonts w:hint="eastAsia" w:ascii="楷体" w:hAnsi="楷体" w:eastAsia="楷体"/>
                <w:szCs w:val="24"/>
              </w:rPr>
              <w:t>4.查设施配备是否满足体系运行的要求：经现场查验上述基础设施均处于有效状态，运转良好。据供销经理介绍目前公司的设备配备能满足现有的经营需求。</w:t>
            </w:r>
          </w:p>
          <w:p>
            <w:pPr>
              <w:spacing w:line="360" w:lineRule="auto"/>
              <w:ind w:firstLine="210" w:firstLineChars="100"/>
              <w:rPr>
                <w:rFonts w:hint="eastAsia" w:ascii="楷体" w:hAnsi="楷体" w:eastAsia="楷体" w:cs="宋体"/>
                <w:szCs w:val="24"/>
              </w:rPr>
            </w:pPr>
            <w:r>
              <w:rPr>
                <w:rFonts w:hint="eastAsia" w:ascii="楷体" w:hAnsi="楷体" w:eastAsia="楷体"/>
                <w:szCs w:val="24"/>
              </w:rPr>
              <w:t>基础设施管理基本可以满足公司目前体系运行的需要。</w:t>
            </w:r>
          </w:p>
        </w:tc>
        <w:tc>
          <w:tcPr>
            <w:tcW w:w="762" w:type="dxa"/>
          </w:tcPr>
          <w:p>
            <w:pPr>
              <w:rPr>
                <w:rFonts w:hint="eastAsia"/>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default" w:ascii="宋体" w:hAnsi="宋体" w:cs="Arial"/>
                <w:spacing w:val="-6"/>
                <w:szCs w:val="21"/>
                <w:lang w:val="en-US" w:eastAsia="zh-CN"/>
              </w:rPr>
            </w:pPr>
            <w:r>
              <w:rPr>
                <w:rFonts w:hint="eastAsia" w:ascii="宋体" w:hAnsi="宋体" w:cs="Arial"/>
                <w:spacing w:val="-6"/>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楷体" w:hAnsi="楷体" w:eastAsia="楷体" w:cs="Arial"/>
                <w:szCs w:val="24"/>
              </w:rPr>
            </w:pPr>
            <w:r>
              <w:rPr>
                <w:rFonts w:hint="eastAsia" w:ascii="楷体" w:hAnsi="楷体" w:eastAsia="楷体" w:cs="Arial"/>
                <w:szCs w:val="24"/>
              </w:rPr>
              <w:t>过程运行环境</w:t>
            </w:r>
          </w:p>
        </w:tc>
        <w:tc>
          <w:tcPr>
            <w:tcW w:w="960" w:type="dxa"/>
          </w:tcPr>
          <w:p>
            <w:pPr>
              <w:rPr>
                <w:rFonts w:hint="eastAsia" w:ascii="楷体" w:hAnsi="楷体" w:eastAsia="楷体" w:cs="Arial"/>
                <w:szCs w:val="24"/>
              </w:rPr>
            </w:pPr>
            <w:r>
              <w:rPr>
                <w:rFonts w:hint="eastAsia" w:ascii="楷体" w:hAnsi="楷体" w:eastAsia="楷体" w:cs="Arial"/>
                <w:szCs w:val="24"/>
              </w:rPr>
              <w:t>Q：7.1.4</w:t>
            </w:r>
          </w:p>
        </w:tc>
        <w:tc>
          <w:tcPr>
            <w:tcW w:w="10827" w:type="dxa"/>
            <w:vAlign w:val="top"/>
          </w:tcPr>
          <w:p>
            <w:pPr>
              <w:spacing w:line="360" w:lineRule="auto"/>
              <w:ind w:firstLine="420" w:firstLineChars="200"/>
              <w:rPr>
                <w:rFonts w:hint="eastAsia" w:ascii="楷体" w:hAnsi="楷体" w:eastAsia="楷体"/>
                <w:szCs w:val="24"/>
              </w:rPr>
            </w:pPr>
            <w:r>
              <w:rPr>
                <w:rFonts w:hint="eastAsia" w:ascii="楷体" w:hAnsi="楷体" w:eastAsia="楷体"/>
                <w:szCs w:val="24"/>
              </w:rPr>
              <w:t>公司办公、</w:t>
            </w:r>
            <w:r>
              <w:rPr>
                <w:rFonts w:hint="eastAsia" w:ascii="楷体" w:hAnsi="楷体" w:eastAsia="楷体"/>
                <w:szCs w:val="24"/>
                <w:lang w:val="en-US" w:eastAsia="zh-CN"/>
              </w:rPr>
              <w:t>采购</w:t>
            </w:r>
            <w:r>
              <w:rPr>
                <w:rFonts w:hint="eastAsia" w:ascii="楷体" w:hAnsi="楷体" w:eastAsia="楷体"/>
                <w:szCs w:val="24"/>
              </w:rPr>
              <w:t>过程对环境要求一般，无特殊要求，各办公区域环境卫生由各部门负责。</w:t>
            </w:r>
          </w:p>
          <w:p>
            <w:pPr>
              <w:spacing w:line="360" w:lineRule="auto"/>
              <w:ind w:firstLine="420" w:firstLineChars="200"/>
              <w:rPr>
                <w:rFonts w:hint="eastAsia" w:ascii="楷体" w:hAnsi="楷体" w:eastAsia="楷体"/>
                <w:szCs w:val="24"/>
              </w:rPr>
            </w:pPr>
            <w:r>
              <w:rPr>
                <w:rFonts w:hint="eastAsia" w:ascii="楷体" w:hAnsi="楷体" w:eastAsia="楷体"/>
                <w:szCs w:val="24"/>
                <w:lang w:eastAsia="zh-CN"/>
              </w:rPr>
              <w:t>采购部</w:t>
            </w:r>
            <w:r>
              <w:rPr>
                <w:rFonts w:hint="eastAsia" w:ascii="楷体" w:hAnsi="楷体" w:eastAsia="楷体"/>
                <w:szCs w:val="24"/>
              </w:rPr>
              <w:t>经理介绍：每天上班期间对</w:t>
            </w:r>
            <w:r>
              <w:rPr>
                <w:rFonts w:hint="eastAsia" w:ascii="楷体" w:hAnsi="楷体" w:eastAsia="楷体"/>
                <w:szCs w:val="24"/>
                <w:lang w:val="en-US" w:eastAsia="zh-CN"/>
              </w:rPr>
              <w:t>办公室</w:t>
            </w:r>
            <w:r>
              <w:rPr>
                <w:rFonts w:hint="eastAsia" w:ascii="楷体" w:hAnsi="楷体" w:eastAsia="楷体"/>
                <w:szCs w:val="24"/>
              </w:rPr>
              <w:t>进行检查，</w:t>
            </w:r>
            <w:r>
              <w:rPr>
                <w:rFonts w:hint="eastAsia" w:ascii="楷体" w:hAnsi="楷体" w:eastAsia="楷体"/>
                <w:szCs w:val="24"/>
                <w:lang w:val="en-US" w:eastAsia="zh-CN"/>
              </w:rPr>
              <w:t>办公室</w:t>
            </w:r>
            <w:r>
              <w:rPr>
                <w:rFonts w:hint="eastAsia" w:ascii="楷体" w:hAnsi="楷体" w:eastAsia="楷体"/>
                <w:szCs w:val="24"/>
              </w:rPr>
              <w:t>内不准随意乱放私人物品，严格杜绝固废随处乱扔、严禁烟火的行为发生，发现问题及时要求责任人进行整改。</w:t>
            </w:r>
          </w:p>
          <w:p>
            <w:pPr>
              <w:spacing w:line="360" w:lineRule="auto"/>
              <w:ind w:firstLine="420" w:firstLineChars="200"/>
              <w:rPr>
                <w:rFonts w:hint="eastAsia" w:ascii="楷体" w:hAnsi="楷体" w:eastAsia="楷体"/>
                <w:szCs w:val="24"/>
              </w:rPr>
            </w:pPr>
            <w:r>
              <w:rPr>
                <w:rFonts w:hint="eastAsia" w:ascii="楷体" w:hAnsi="楷体" w:eastAsia="楷体"/>
                <w:szCs w:val="24"/>
              </w:rPr>
              <w:t>现场巡视：办公环境光照、温度适宜，通风良好，电路布线合理、电气插座完整，未见破损，办公场所物品摆放整齐、有序，未见随意乱放私人物品的情况，未见用电不当等安全隐患及不良影响现象。</w:t>
            </w:r>
          </w:p>
          <w:p>
            <w:pPr>
              <w:spacing w:line="360" w:lineRule="auto"/>
              <w:ind w:firstLine="420" w:firstLineChars="200"/>
              <w:rPr>
                <w:rFonts w:hint="eastAsia" w:ascii="楷体" w:hAnsi="楷体" w:eastAsia="楷体" w:cs="Times New Roman"/>
                <w:kern w:val="2"/>
                <w:sz w:val="21"/>
                <w:szCs w:val="24"/>
                <w:lang w:val="en-US" w:eastAsia="zh-CN" w:bidi="ar-SA"/>
              </w:rPr>
            </w:pPr>
            <w:r>
              <w:rPr>
                <w:rFonts w:hint="eastAsia" w:ascii="楷体" w:hAnsi="楷体" w:eastAsia="楷体"/>
                <w:szCs w:val="24"/>
              </w:rPr>
              <w:t>企业确定并提供了产品要求所需的工作环境，工作环境适宜，现有工作环境能满足提供合格的产品以及销售服务的需要。</w:t>
            </w:r>
          </w:p>
        </w:tc>
        <w:tc>
          <w:tcPr>
            <w:tcW w:w="762" w:type="dxa"/>
          </w:tcPr>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default" w:ascii="宋体" w:hAnsi="宋体" w:cs="Arial"/>
                <w:spacing w:val="-6"/>
                <w:szCs w:val="21"/>
                <w:lang w:val="en-US" w:eastAsia="zh-CN"/>
              </w:rPr>
            </w:pPr>
            <w:r>
              <w:rPr>
                <w:rFonts w:hint="eastAsia" w:ascii="宋体" w:hAnsi="宋体" w:cs="Arial"/>
                <w:spacing w:val="-6"/>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楷体" w:hAnsi="楷体" w:eastAsia="楷体" w:cs="Arial"/>
                <w:szCs w:val="24"/>
              </w:rPr>
            </w:pPr>
            <w:r>
              <w:rPr>
                <w:rFonts w:hint="eastAsia" w:ascii="楷体" w:hAnsi="楷体" w:eastAsia="楷体" w:cs="Arial"/>
                <w:szCs w:val="24"/>
              </w:rPr>
              <w:t>运行策划和控制</w:t>
            </w:r>
          </w:p>
        </w:tc>
        <w:tc>
          <w:tcPr>
            <w:tcW w:w="960" w:type="dxa"/>
          </w:tcPr>
          <w:p>
            <w:pPr>
              <w:spacing w:line="360" w:lineRule="auto"/>
              <w:rPr>
                <w:rFonts w:hint="eastAsia" w:ascii="楷体" w:hAnsi="楷体" w:eastAsia="楷体" w:cs="楷体"/>
                <w:szCs w:val="24"/>
              </w:rPr>
            </w:pPr>
            <w:r>
              <w:rPr>
                <w:rFonts w:hint="eastAsia" w:ascii="楷体" w:hAnsi="楷体" w:eastAsia="楷体" w:cs="Arial"/>
                <w:szCs w:val="24"/>
              </w:rPr>
              <w:t>Q8.1</w:t>
            </w:r>
            <w:r>
              <w:rPr>
                <w:rFonts w:hint="eastAsia" w:ascii="楷体" w:hAnsi="楷体" w:eastAsia="楷体" w:cs="楷体"/>
                <w:szCs w:val="24"/>
              </w:rPr>
              <w:t xml:space="preserve"> </w:t>
            </w:r>
          </w:p>
          <w:p>
            <w:pPr>
              <w:rPr>
                <w:rFonts w:hint="eastAsia" w:ascii="楷体" w:hAnsi="楷体" w:eastAsia="楷体" w:cs="Arial"/>
                <w:szCs w:val="24"/>
              </w:rPr>
            </w:pPr>
          </w:p>
        </w:tc>
        <w:tc>
          <w:tcPr>
            <w:tcW w:w="10827" w:type="dxa"/>
            <w:vAlign w:val="center"/>
          </w:tcPr>
          <w:p>
            <w:pPr>
              <w:pStyle w:val="17"/>
              <w:spacing w:line="360" w:lineRule="auto"/>
              <w:ind w:left="0" w:firstLine="420" w:firstLineChars="200"/>
              <w:jc w:val="left"/>
              <w:rPr>
                <w:rFonts w:hint="eastAsia" w:ascii="楷体" w:hAnsi="楷体" w:eastAsia="楷体" w:cs="楷体"/>
                <w:kern w:val="0"/>
                <w:szCs w:val="24"/>
              </w:rPr>
            </w:pPr>
            <w:r>
              <w:rPr>
                <w:rFonts w:hint="eastAsia" w:ascii="楷体" w:hAnsi="楷体" w:eastAsia="楷体" w:cs="楷体"/>
                <w:kern w:val="0"/>
                <w:szCs w:val="24"/>
              </w:rPr>
              <w:t>产品的实现过程策划主要由总经理和</w:t>
            </w:r>
            <w:r>
              <w:rPr>
                <w:rFonts w:hint="eastAsia" w:ascii="楷体" w:hAnsi="楷体" w:eastAsia="楷体" w:cs="楷体"/>
                <w:kern w:val="0"/>
                <w:szCs w:val="24"/>
                <w:lang w:eastAsia="zh-CN"/>
              </w:rPr>
              <w:t>采购部</w:t>
            </w:r>
            <w:r>
              <w:rPr>
                <w:rFonts w:hint="eastAsia" w:ascii="楷体" w:hAnsi="楷体" w:eastAsia="楷体" w:cs="楷体"/>
                <w:kern w:val="0"/>
                <w:szCs w:val="24"/>
              </w:rPr>
              <w:t>负责人负责完成，过程策划包含了</w:t>
            </w:r>
            <w:r>
              <w:rPr>
                <w:rFonts w:hint="eastAsia" w:ascii="楷体" w:hAnsi="楷体" w:eastAsia="楷体" w:cs="楷体"/>
                <w:kern w:val="0"/>
                <w:szCs w:val="24"/>
                <w:lang w:val="en-US" w:eastAsia="zh-CN"/>
              </w:rPr>
              <w:t>通讯产品的采购</w:t>
            </w:r>
            <w:r>
              <w:rPr>
                <w:rFonts w:hint="eastAsia" w:ascii="楷体" w:hAnsi="楷体" w:eastAsia="楷体" w:cs="楷体"/>
                <w:kern w:val="0"/>
                <w:szCs w:val="24"/>
              </w:rPr>
              <w:t>所需要达到的质量目标和要求。</w:t>
            </w:r>
          </w:p>
          <w:p>
            <w:pPr>
              <w:pStyle w:val="17"/>
              <w:spacing w:line="360" w:lineRule="auto"/>
              <w:ind w:left="0" w:firstLine="420" w:firstLineChars="200"/>
              <w:jc w:val="left"/>
              <w:rPr>
                <w:rFonts w:hint="eastAsia" w:ascii="楷体" w:hAnsi="楷体" w:eastAsia="楷体" w:cs="楷体"/>
                <w:kern w:val="0"/>
                <w:szCs w:val="24"/>
              </w:rPr>
            </w:pPr>
            <w:r>
              <w:rPr>
                <w:rFonts w:hint="eastAsia" w:ascii="楷体" w:hAnsi="楷体" w:eastAsia="楷体" w:cs="楷体"/>
                <w:kern w:val="0"/>
                <w:szCs w:val="24"/>
              </w:rPr>
              <w:t>执行标准《商品经营服务质量管理规范》GB/T 16868-2009；</w:t>
            </w:r>
          </w:p>
          <w:p>
            <w:pPr>
              <w:pStyle w:val="17"/>
              <w:spacing w:line="360" w:lineRule="auto"/>
              <w:ind w:left="420"/>
              <w:jc w:val="left"/>
              <w:rPr>
                <w:rFonts w:hint="eastAsia" w:ascii="楷体" w:hAnsi="楷体" w:eastAsia="楷体" w:cs="楷体"/>
                <w:kern w:val="0"/>
                <w:szCs w:val="24"/>
              </w:rPr>
            </w:pPr>
            <w:r>
              <w:rPr>
                <w:rFonts w:hint="eastAsia" w:ascii="楷体" w:hAnsi="楷体" w:eastAsia="楷体" w:cs="楷体"/>
                <w:kern w:val="0"/>
                <w:szCs w:val="24"/>
              </w:rPr>
              <w:t>编制了相应的过程文件：</w:t>
            </w:r>
          </w:p>
          <w:p>
            <w:pPr>
              <w:pStyle w:val="17"/>
              <w:spacing w:line="360" w:lineRule="auto"/>
              <w:ind w:left="0"/>
              <w:jc w:val="left"/>
              <w:rPr>
                <w:rFonts w:hint="eastAsia" w:ascii="楷体" w:hAnsi="楷体" w:eastAsia="楷体" w:cs="楷体"/>
                <w:kern w:val="0"/>
                <w:szCs w:val="24"/>
              </w:rPr>
            </w:pPr>
            <w:r>
              <w:rPr>
                <w:rFonts w:hint="eastAsia" w:ascii="楷体" w:hAnsi="楷体" w:eastAsia="楷体" w:cs="楷体"/>
                <w:kern w:val="0"/>
                <w:szCs w:val="24"/>
              </w:rPr>
              <w:t>（1）编制了销售服务流程：招投标 → 合同评审 → 采购 → 进货检验 → 交付；</w:t>
            </w:r>
          </w:p>
          <w:p>
            <w:pPr>
              <w:pStyle w:val="17"/>
              <w:spacing w:line="360" w:lineRule="auto"/>
              <w:ind w:left="0"/>
              <w:jc w:val="left"/>
              <w:rPr>
                <w:rFonts w:hint="eastAsia" w:ascii="楷体" w:hAnsi="楷体" w:eastAsia="楷体" w:cs="楷体"/>
                <w:kern w:val="0"/>
                <w:szCs w:val="24"/>
              </w:rPr>
            </w:pPr>
            <w:r>
              <w:rPr>
                <w:rFonts w:hint="eastAsia" w:ascii="楷体" w:hAnsi="楷体" w:eastAsia="楷体" w:cs="楷体"/>
                <w:kern w:val="0"/>
                <w:szCs w:val="24"/>
              </w:rPr>
              <w:t>（2）制定了作业指导书</w:t>
            </w:r>
            <w:r>
              <w:rPr>
                <w:rFonts w:hint="eastAsia" w:ascii="楷体" w:hAnsi="楷体" w:eastAsia="楷体" w:cs="楷体"/>
                <w:szCs w:val="24"/>
              </w:rPr>
              <w:t>《</w:t>
            </w:r>
            <w:r>
              <w:rPr>
                <w:rFonts w:hint="eastAsia" w:ascii="楷体" w:hAnsi="楷体" w:eastAsia="楷体" w:cs="楷体"/>
                <w:kern w:val="0"/>
                <w:szCs w:val="24"/>
              </w:rPr>
              <w:t>营销服务提供规范》、《</w:t>
            </w:r>
            <w:r>
              <w:rPr>
                <w:rFonts w:hint="eastAsia" w:ascii="楷体" w:hAnsi="楷体" w:eastAsia="楷体" w:cs="楷体"/>
                <w:kern w:val="0"/>
                <w:szCs w:val="24"/>
                <w:lang w:val="en-US" w:eastAsia="zh-CN"/>
              </w:rPr>
              <w:t>采购</w:t>
            </w:r>
            <w:r>
              <w:rPr>
                <w:rFonts w:hint="eastAsia" w:ascii="楷体" w:hAnsi="楷体" w:eastAsia="楷体" w:cs="楷体"/>
                <w:kern w:val="0"/>
                <w:szCs w:val="24"/>
              </w:rPr>
              <w:t>服务质量的控制规范》、《</w:t>
            </w:r>
            <w:r>
              <w:rPr>
                <w:rFonts w:hint="eastAsia" w:ascii="楷体" w:hAnsi="楷体" w:eastAsia="楷体" w:cs="楷体"/>
                <w:kern w:val="0"/>
                <w:szCs w:val="24"/>
                <w:lang w:val="en-US" w:eastAsia="zh-CN"/>
              </w:rPr>
              <w:t>采购</w:t>
            </w:r>
            <w:r>
              <w:rPr>
                <w:rFonts w:hint="eastAsia" w:ascii="楷体" w:hAnsi="楷体" w:eastAsia="楷体" w:cs="楷体"/>
                <w:kern w:val="0"/>
                <w:szCs w:val="24"/>
              </w:rPr>
              <w:t>服务规定》、《</w:t>
            </w:r>
            <w:r>
              <w:rPr>
                <w:rFonts w:hint="eastAsia" w:ascii="楷体" w:hAnsi="楷体" w:eastAsia="楷体" w:cs="楷体"/>
                <w:kern w:val="0"/>
                <w:szCs w:val="24"/>
                <w:lang w:val="en-US" w:eastAsia="zh-CN"/>
              </w:rPr>
              <w:t>采购</w:t>
            </w:r>
            <w:r>
              <w:rPr>
                <w:rFonts w:hint="eastAsia" w:ascii="楷体" w:hAnsi="楷体" w:eastAsia="楷体" w:cs="楷体"/>
                <w:kern w:val="0"/>
                <w:szCs w:val="24"/>
              </w:rPr>
              <w:t>服务人员服务规范》；</w:t>
            </w:r>
          </w:p>
          <w:p>
            <w:pPr>
              <w:pStyle w:val="17"/>
              <w:spacing w:line="360" w:lineRule="auto"/>
              <w:ind w:left="0"/>
              <w:jc w:val="left"/>
              <w:rPr>
                <w:rFonts w:hint="eastAsia" w:ascii="楷体" w:hAnsi="楷体" w:eastAsia="楷体" w:cs="楷体"/>
                <w:kern w:val="0"/>
                <w:szCs w:val="24"/>
              </w:rPr>
            </w:pPr>
            <w:r>
              <w:rPr>
                <w:rFonts w:hint="eastAsia" w:ascii="楷体" w:hAnsi="楷体" w:eastAsia="楷体" w:cs="楷体"/>
                <w:kern w:val="0"/>
                <w:szCs w:val="24"/>
              </w:rPr>
              <w:t>（3）规定了产品的检验验收准则，并制定了相应的检验规范；</w:t>
            </w:r>
            <w:r>
              <w:rPr>
                <w:rFonts w:hint="eastAsia" w:ascii="楷体" w:hAnsi="楷体" w:eastAsia="楷体" w:cs="楷体"/>
                <w:szCs w:val="24"/>
              </w:rPr>
              <w:t>《采购物资检验规范》、《营销服务质量的控制规范》；</w:t>
            </w:r>
          </w:p>
          <w:p>
            <w:pPr>
              <w:pStyle w:val="17"/>
              <w:spacing w:line="360" w:lineRule="auto"/>
              <w:ind w:left="0"/>
              <w:jc w:val="left"/>
              <w:rPr>
                <w:rFonts w:hint="eastAsia" w:ascii="楷体" w:hAnsi="楷体" w:eastAsia="楷体" w:cs="楷体"/>
                <w:kern w:val="0"/>
                <w:szCs w:val="24"/>
              </w:rPr>
            </w:pPr>
            <w:r>
              <w:rPr>
                <w:rFonts w:hint="eastAsia" w:ascii="楷体" w:hAnsi="楷体" w:eastAsia="楷体" w:cs="楷体"/>
                <w:kern w:val="0"/>
                <w:szCs w:val="24"/>
              </w:rPr>
              <w:t>（4）现场对销售各过程填写有产品检验记录、营销人员工作监督表、不合格品处置单、发货单等各种监视和测量记录；</w:t>
            </w:r>
          </w:p>
          <w:p>
            <w:pPr>
              <w:pStyle w:val="17"/>
              <w:spacing w:line="360" w:lineRule="auto"/>
              <w:ind w:left="0"/>
              <w:jc w:val="left"/>
              <w:rPr>
                <w:rFonts w:hint="eastAsia" w:ascii="楷体" w:hAnsi="楷体" w:eastAsia="楷体" w:cs="楷体"/>
                <w:kern w:val="0"/>
                <w:szCs w:val="24"/>
              </w:rPr>
            </w:pPr>
            <w:r>
              <w:rPr>
                <w:rFonts w:hint="eastAsia" w:ascii="楷体" w:hAnsi="楷体" w:eastAsia="楷体" w:cs="楷体"/>
                <w:kern w:val="0"/>
                <w:szCs w:val="24"/>
              </w:rPr>
              <w:t>（5）资源的提供（包括场所、人力、物力、设备设施等）。</w:t>
            </w:r>
          </w:p>
          <w:p>
            <w:pPr>
              <w:pStyle w:val="17"/>
              <w:spacing w:line="360" w:lineRule="auto"/>
              <w:ind w:left="0" w:firstLine="420" w:firstLineChars="200"/>
              <w:jc w:val="left"/>
              <w:rPr>
                <w:rFonts w:hint="eastAsia" w:ascii="楷体" w:hAnsi="楷体" w:eastAsia="楷体" w:cs="楷体"/>
                <w:kern w:val="0"/>
                <w:szCs w:val="24"/>
              </w:rPr>
            </w:pPr>
            <w:r>
              <w:rPr>
                <w:rFonts w:hint="eastAsia" w:ascii="楷体" w:hAnsi="楷体" w:eastAsia="楷体"/>
                <w:szCs w:val="24"/>
              </w:rPr>
              <w:t>组织对外包过程的控制详见8.4审核记录，到目前为止，组织运行没有变更，问其有关要求，基本了解。</w:t>
            </w:r>
          </w:p>
          <w:p>
            <w:pPr>
              <w:pStyle w:val="17"/>
              <w:spacing w:line="360" w:lineRule="auto"/>
              <w:ind w:left="420" w:leftChars="0" w:right="284" w:rightChars="0"/>
              <w:jc w:val="left"/>
              <w:rPr>
                <w:rFonts w:hint="eastAsia" w:ascii="楷体" w:hAnsi="楷体" w:eastAsia="楷体" w:cs="楷体"/>
                <w:kern w:val="2"/>
                <w:sz w:val="21"/>
                <w:szCs w:val="24"/>
                <w:lang w:val="en-US" w:eastAsia="zh-CN" w:bidi="ar-SA"/>
              </w:rPr>
            </w:pPr>
            <w:r>
              <w:rPr>
                <w:rFonts w:hint="eastAsia" w:ascii="楷体" w:hAnsi="楷体" w:eastAsia="楷体" w:cs="楷体"/>
                <w:kern w:val="0"/>
                <w:szCs w:val="24"/>
              </w:rPr>
              <w:t>该公司</w:t>
            </w:r>
            <w:r>
              <w:rPr>
                <w:rFonts w:hint="eastAsia" w:ascii="楷体" w:hAnsi="楷体" w:eastAsia="楷体" w:cs="楷体"/>
                <w:kern w:val="0"/>
                <w:szCs w:val="24"/>
                <w:lang w:val="en-US" w:eastAsia="zh-CN"/>
              </w:rPr>
              <w:t>采购</w:t>
            </w:r>
            <w:r>
              <w:rPr>
                <w:rFonts w:hint="eastAsia" w:ascii="楷体" w:hAnsi="楷体" w:eastAsia="楷体" w:cs="楷体"/>
                <w:kern w:val="0"/>
                <w:szCs w:val="24"/>
              </w:rPr>
              <w:t>服务提供过程策划符合要求。</w:t>
            </w:r>
          </w:p>
        </w:tc>
        <w:tc>
          <w:tcPr>
            <w:tcW w:w="762" w:type="dxa"/>
          </w:tcPr>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default" w:ascii="宋体" w:hAnsi="宋体" w:cs="Arial"/>
                <w:spacing w:val="-6"/>
                <w:szCs w:val="21"/>
                <w:lang w:val="en-US" w:eastAsia="zh-CN"/>
              </w:rPr>
            </w:pPr>
            <w:r>
              <w:rPr>
                <w:rFonts w:hint="eastAsia" w:ascii="宋体" w:hAnsi="宋体" w:cs="Arial"/>
                <w:spacing w:val="-6"/>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楷体" w:hAnsi="楷体" w:eastAsia="楷体" w:cs="Arial"/>
                <w:szCs w:val="24"/>
              </w:rPr>
            </w:pPr>
            <w:r>
              <w:rPr>
                <w:rFonts w:hint="eastAsia" w:ascii="楷体" w:hAnsi="楷体" w:eastAsia="楷体" w:cs="Arial"/>
                <w:szCs w:val="24"/>
              </w:rPr>
              <w:t>产品和服务的设计和开发</w:t>
            </w:r>
            <w:r>
              <w:rPr>
                <w:rFonts w:hint="eastAsia" w:ascii="楷体" w:hAnsi="楷体" w:eastAsia="楷体" w:cs="楷体"/>
                <w:szCs w:val="24"/>
              </w:rPr>
              <w:t>不适用确认</w:t>
            </w:r>
          </w:p>
        </w:tc>
        <w:tc>
          <w:tcPr>
            <w:tcW w:w="960" w:type="dxa"/>
          </w:tcPr>
          <w:p>
            <w:pPr>
              <w:rPr>
                <w:rFonts w:hint="eastAsia" w:ascii="楷体" w:hAnsi="楷体" w:eastAsia="楷体" w:cs="Arial"/>
                <w:szCs w:val="24"/>
              </w:rPr>
            </w:pPr>
            <w:r>
              <w:rPr>
                <w:rFonts w:hint="eastAsia" w:ascii="楷体" w:hAnsi="楷体" w:eastAsia="楷体" w:cs="Arial"/>
                <w:szCs w:val="24"/>
              </w:rPr>
              <w:t>Q8.3</w:t>
            </w:r>
            <w:r>
              <w:rPr>
                <w:rFonts w:hint="eastAsia" w:ascii="楷体" w:hAnsi="楷体" w:eastAsia="楷体" w:cs="楷体"/>
                <w:szCs w:val="24"/>
              </w:rPr>
              <w:t xml:space="preserve"> </w:t>
            </w:r>
          </w:p>
        </w:tc>
        <w:tc>
          <w:tcPr>
            <w:tcW w:w="10827" w:type="dxa"/>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kern w:val="0"/>
                <w:szCs w:val="24"/>
              </w:rPr>
            </w:pPr>
            <w:r>
              <w:rPr>
                <w:rFonts w:hint="eastAsia" w:ascii="楷体" w:hAnsi="楷体" w:eastAsia="楷体" w:cs="楷体"/>
                <w:szCs w:val="24"/>
              </w:rPr>
              <w:t>公司只负责按常规</w:t>
            </w:r>
            <w:r>
              <w:rPr>
                <w:rFonts w:hint="eastAsia" w:ascii="楷体" w:hAnsi="楷体" w:eastAsia="楷体"/>
                <w:bCs/>
                <w:szCs w:val="24"/>
              </w:rPr>
              <w:t>销售模式进行</w:t>
            </w:r>
            <w:r>
              <w:rPr>
                <w:rFonts w:hint="eastAsia" w:ascii="楷体" w:hAnsi="楷体" w:eastAsia="楷体"/>
                <w:bCs/>
                <w:szCs w:val="24"/>
                <w:lang w:val="en-US" w:eastAsia="zh-CN"/>
              </w:rPr>
              <w:t>计算机软硬件及电子产品</w:t>
            </w:r>
            <w:r>
              <w:rPr>
                <w:rFonts w:hint="eastAsia" w:ascii="楷体" w:hAnsi="楷体" w:eastAsia="楷体"/>
                <w:bCs/>
                <w:szCs w:val="24"/>
              </w:rPr>
              <w:t>的销售，不需要再设计开发，因此将ISO9001：2015标准“8.3产品和服务的设计和开发”的要求确认为不适用，该不适用不影响组织确保产品和服务合格以及增强顾客满意的能力或责任。</w:t>
            </w:r>
          </w:p>
        </w:tc>
        <w:tc>
          <w:tcPr>
            <w:tcW w:w="762" w:type="dxa"/>
          </w:tcPr>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default" w:ascii="宋体" w:hAnsi="宋体" w:cs="Arial"/>
                <w:spacing w:val="-6"/>
                <w:szCs w:val="21"/>
                <w:lang w:val="en-US" w:eastAsia="zh-CN"/>
              </w:rPr>
            </w:pPr>
            <w:r>
              <w:rPr>
                <w:rFonts w:hint="eastAsia" w:ascii="宋体" w:hAnsi="宋体" w:cs="Arial"/>
                <w:spacing w:val="-6"/>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60" w:type="dxa"/>
          </w:tcPr>
          <w:p>
            <w:pPr>
              <w:rPr>
                <w:rFonts w:hint="eastAsia" w:ascii="楷体" w:hAnsi="楷体" w:eastAsia="楷体" w:cs="楷体"/>
                <w:szCs w:val="24"/>
              </w:rPr>
            </w:pPr>
            <w:r>
              <w:rPr>
                <w:rFonts w:hint="eastAsia" w:ascii="楷体" w:hAnsi="楷体" w:eastAsia="楷体" w:cs="Arial"/>
                <w:szCs w:val="24"/>
              </w:rPr>
              <w:t>外部提供过程、产品和服务的控制</w:t>
            </w:r>
          </w:p>
        </w:tc>
        <w:tc>
          <w:tcPr>
            <w:tcW w:w="960" w:type="dxa"/>
          </w:tcPr>
          <w:p>
            <w:pPr>
              <w:rPr>
                <w:rFonts w:hint="eastAsia" w:ascii="楷体" w:hAnsi="楷体" w:eastAsia="楷体" w:cs="楷体"/>
                <w:szCs w:val="24"/>
              </w:rPr>
            </w:pPr>
            <w:r>
              <w:rPr>
                <w:rFonts w:hint="eastAsia" w:ascii="楷体" w:hAnsi="楷体" w:eastAsia="楷体" w:cs="Arial"/>
                <w:szCs w:val="24"/>
              </w:rPr>
              <w:t>Q8.4</w:t>
            </w:r>
          </w:p>
        </w:tc>
        <w:tc>
          <w:tcPr>
            <w:tcW w:w="10827" w:type="dxa"/>
            <w:vAlign w:val="top"/>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r>
              <w:rPr>
                <w:rFonts w:hint="eastAsia" w:ascii="楷体" w:hAnsi="楷体" w:eastAsia="楷体" w:cs="楷体"/>
                <w:szCs w:val="24"/>
              </w:rPr>
              <w:t>编制了《外部提供过程产品服务控制程序》，规定了采购物资分类、供方评价与管理状况、采购信息、采购产品验证等内容。对采购的物资进行分类，并依据重要程度分别予以控制。</w:t>
            </w:r>
          </w:p>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r>
              <w:rPr>
                <w:rFonts w:hint="eastAsia" w:ascii="楷体" w:hAnsi="楷体" w:eastAsia="楷体" w:cs="楷体"/>
                <w:szCs w:val="24"/>
              </w:rPr>
              <w:t>提供了《合格供方评价标准》，评价内容包含管理体系、质量安全环境要求、交货期、人员、设备、现场、生产能力、资质、价格、服务等，分数比例5-10分不等，各分项有相应的评分标准，并有相应的得分与供方级别说明。</w:t>
            </w:r>
          </w:p>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r>
              <w:rPr>
                <w:rFonts w:hint="eastAsia" w:ascii="楷体" w:hAnsi="楷体" w:eastAsia="楷体" w:cs="楷体"/>
                <w:szCs w:val="24"/>
              </w:rPr>
              <w:t>提供了《合格供方名录》，收录</w:t>
            </w:r>
            <w:r>
              <w:rPr>
                <w:rFonts w:hint="eastAsia" w:ascii="楷体" w:hAnsi="楷体" w:eastAsia="楷体" w:cs="楷体"/>
                <w:szCs w:val="24"/>
                <w:lang w:val="en-US" w:eastAsia="zh-CN"/>
              </w:rPr>
              <w:t>成都亨通光通信有限公司、成都大唐线缆有限公司、成都金牛区精工电器、四川三足电气有限公司、四川省新都美河线缆厂、四川金峰实业有限公司、成都市青羊区泰华通讯器材经营部等7家供应商</w:t>
            </w:r>
            <w:r>
              <w:rPr>
                <w:rFonts w:hint="eastAsia" w:ascii="楷体" w:hAnsi="楷体" w:eastAsia="楷体" w:cs="楷体"/>
                <w:szCs w:val="24"/>
              </w:rPr>
              <w:t>，有供方名称，供应产品、列入日期、联系人、联系电话、供方详细地址等信息。</w:t>
            </w:r>
          </w:p>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lang w:eastAsia="zh-CN"/>
              </w:rPr>
            </w:pPr>
            <w:r>
              <w:rPr>
                <w:rFonts w:hint="eastAsia" w:ascii="楷体" w:hAnsi="楷体" w:eastAsia="楷体" w:cs="楷体"/>
                <w:szCs w:val="24"/>
              </w:rPr>
              <w:t>查见《供应商能力调查评价表》，有供方名称、评价项目、评价结果等内容，录有：</w:t>
            </w:r>
            <w:r>
              <w:rPr>
                <w:rFonts w:hint="eastAsia" w:ascii="楷体" w:hAnsi="楷体" w:eastAsia="楷体" w:cs="楷体"/>
                <w:szCs w:val="24"/>
                <w:lang w:val="en-US" w:eastAsia="zh-CN"/>
              </w:rPr>
              <w:t>亨通光通信有限公司、成都大唐线缆有限公司、成都金牛区精工电器、四川三足电气有限公司、四川省新都美河线缆厂、四川金峰实业有限公司、成都市青羊区泰华通讯器材经营部7个</w:t>
            </w:r>
            <w:r>
              <w:rPr>
                <w:rFonts w:hint="eastAsia" w:ascii="楷体" w:hAnsi="楷体" w:eastAsia="楷体" w:cs="楷体"/>
                <w:szCs w:val="24"/>
              </w:rPr>
              <w:t>供方</w:t>
            </w:r>
            <w:r>
              <w:rPr>
                <w:rFonts w:hint="eastAsia" w:ascii="楷体" w:hAnsi="楷体" w:eastAsia="楷体" w:cs="楷体"/>
                <w:szCs w:val="24"/>
                <w:lang w:eastAsia="zh-CN"/>
              </w:rPr>
              <w:t>；</w:t>
            </w:r>
          </w:p>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r>
              <w:rPr>
                <w:rFonts w:hint="eastAsia" w:ascii="楷体" w:hAnsi="楷体" w:eastAsia="楷体" w:cs="楷体"/>
                <w:szCs w:val="24"/>
              </w:rPr>
              <w:t>评价人：</w:t>
            </w:r>
            <w:r>
              <w:rPr>
                <w:rFonts w:hint="eastAsia" w:ascii="楷体" w:hAnsi="楷体" w:eastAsia="楷体" w:cs="楷体"/>
                <w:szCs w:val="24"/>
                <w:lang w:val="en-US" w:eastAsia="zh-CN"/>
              </w:rPr>
              <w:t>李玉平、王希、王飞燕，批准：闵慧，</w:t>
            </w:r>
            <w:r>
              <w:rPr>
                <w:rFonts w:hint="eastAsia" w:ascii="楷体" w:hAnsi="楷体" w:eastAsia="楷体" w:cs="楷体"/>
                <w:szCs w:val="24"/>
              </w:rPr>
              <w:t>日期：20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5</w:t>
            </w:r>
            <w:r>
              <w:rPr>
                <w:rFonts w:hint="eastAsia" w:ascii="楷体" w:hAnsi="楷体" w:eastAsia="楷体" w:cs="楷体"/>
                <w:szCs w:val="24"/>
              </w:rPr>
              <w:t>.28日。</w:t>
            </w:r>
          </w:p>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r>
              <w:rPr>
                <w:rFonts w:hint="eastAsia" w:ascii="楷体" w:hAnsi="楷体" w:eastAsia="楷体" w:cs="楷体"/>
                <w:szCs w:val="24"/>
                <w:lang w:val="en-US" w:eastAsia="zh-CN"/>
              </w:rPr>
              <w:t>公司</w:t>
            </w:r>
            <w:r>
              <w:rPr>
                <w:rFonts w:hint="eastAsia" w:ascii="楷体" w:hAnsi="楷体" w:eastAsia="楷体" w:cs="楷体"/>
                <w:szCs w:val="24"/>
              </w:rPr>
              <w:t>在对供方进行选择和评价时，收集了企业的相关产品的说明书、检验报告、合格证等，对于供方的相关资质，应保持更新，但对供方评价应充分考虑环境及职业健康安全方面的要求，与负责人进行了沟通。</w:t>
            </w:r>
          </w:p>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p>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r>
              <w:rPr>
                <w:rFonts w:hint="eastAsia" w:ascii="楷体" w:hAnsi="楷体" w:eastAsia="楷体" w:cs="楷体"/>
                <w:szCs w:val="24"/>
              </w:rPr>
              <w:t>经理介绍，根据需要提报采购申请，经批准后由</w:t>
            </w:r>
            <w:r>
              <w:rPr>
                <w:rFonts w:hint="eastAsia" w:ascii="楷体" w:hAnsi="楷体" w:eastAsia="楷体" w:cs="楷体"/>
                <w:szCs w:val="24"/>
                <w:lang w:eastAsia="zh-CN"/>
              </w:rPr>
              <w:t>采购部</w:t>
            </w:r>
            <w:r>
              <w:rPr>
                <w:rFonts w:hint="eastAsia" w:ascii="楷体" w:hAnsi="楷体" w:eastAsia="楷体" w:cs="楷体"/>
                <w:szCs w:val="24"/>
              </w:rPr>
              <w:t>组织实施采购。在实施采购前公司与供方进行沟通后编制采购文件，注明名称、型号、数量、要求、交付期等内容，列入采购计划组织实施。</w:t>
            </w:r>
          </w:p>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lang w:val="en-US" w:eastAsia="zh-CN"/>
              </w:rPr>
            </w:pPr>
            <w:r>
              <w:rPr>
                <w:rFonts w:hint="eastAsia" w:ascii="楷体" w:hAnsi="楷体" w:eastAsia="楷体" w:cs="楷体"/>
                <w:szCs w:val="24"/>
              </w:rPr>
              <w:t>查见20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8</w:t>
            </w:r>
            <w:r>
              <w:rPr>
                <w:rFonts w:hint="eastAsia" w:ascii="楷体" w:hAnsi="楷体" w:eastAsia="楷体" w:cs="楷体"/>
                <w:szCs w:val="24"/>
              </w:rPr>
              <w:t>.</w:t>
            </w:r>
            <w:r>
              <w:rPr>
                <w:rFonts w:hint="eastAsia" w:ascii="楷体" w:hAnsi="楷体" w:eastAsia="楷体" w:cs="楷体"/>
                <w:szCs w:val="24"/>
                <w:lang w:val="en-US" w:eastAsia="zh-CN"/>
              </w:rPr>
              <w:t>3</w:t>
            </w:r>
            <w:r>
              <w:rPr>
                <w:rFonts w:hint="eastAsia" w:ascii="楷体" w:hAnsi="楷体" w:eastAsia="楷体" w:cs="楷体"/>
                <w:szCs w:val="24"/>
              </w:rPr>
              <w:t>日《采购计划表》，</w:t>
            </w:r>
            <w:r>
              <w:rPr>
                <w:rFonts w:hint="eastAsia" w:ascii="楷体" w:hAnsi="楷体" w:eastAsia="楷体" w:cs="楷体"/>
                <w:szCs w:val="24"/>
                <w:lang w:val="en-US" w:eastAsia="zh-CN"/>
              </w:rPr>
              <w:t>供方：</w:t>
            </w:r>
          </w:p>
          <w:tbl>
            <w:tblPr>
              <w:tblStyle w:val="8"/>
              <w:tblW w:w="10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626"/>
              <w:gridCol w:w="1700"/>
              <w:gridCol w:w="1100"/>
              <w:gridCol w:w="1660"/>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0"/>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rPr>
                  </w:pPr>
                  <w:r>
                    <w:rPr>
                      <w:rFonts w:hint="eastAsia" w:ascii="楷体" w:hAnsi="楷体" w:eastAsia="楷体" w:cs="楷体"/>
                      <w:szCs w:val="24"/>
                    </w:rPr>
                    <w:t>序号</w:t>
                  </w:r>
                </w:p>
              </w:tc>
              <w:tc>
                <w:tcPr>
                  <w:tcW w:w="3626" w:type="dxa"/>
                  <w:noWrap w:val="0"/>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r>
                    <w:rPr>
                      <w:rFonts w:hint="eastAsia" w:ascii="楷体" w:hAnsi="楷体" w:eastAsia="楷体" w:cs="楷体"/>
                      <w:szCs w:val="24"/>
                    </w:rPr>
                    <w:t>物品名称</w:t>
                  </w:r>
                </w:p>
              </w:tc>
              <w:tc>
                <w:tcPr>
                  <w:tcW w:w="1700" w:type="dxa"/>
                  <w:noWrap w:val="0"/>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r>
                    <w:rPr>
                      <w:rFonts w:hint="eastAsia" w:ascii="楷体" w:hAnsi="楷体" w:eastAsia="楷体" w:cs="楷体"/>
                      <w:szCs w:val="24"/>
                    </w:rPr>
                    <w:t>型号规格</w:t>
                  </w:r>
                </w:p>
              </w:tc>
              <w:tc>
                <w:tcPr>
                  <w:tcW w:w="1100" w:type="dxa"/>
                  <w:noWrap w:val="0"/>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rPr>
                  </w:pPr>
                  <w:r>
                    <w:rPr>
                      <w:rFonts w:hint="eastAsia" w:ascii="楷体" w:hAnsi="楷体" w:eastAsia="楷体" w:cs="楷体"/>
                      <w:szCs w:val="24"/>
                    </w:rPr>
                    <w:t>数量</w:t>
                  </w:r>
                </w:p>
              </w:tc>
              <w:tc>
                <w:tcPr>
                  <w:tcW w:w="1660" w:type="dxa"/>
                  <w:noWrap w:val="0"/>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r>
                    <w:rPr>
                      <w:rFonts w:hint="eastAsia" w:ascii="楷体" w:hAnsi="楷体" w:eastAsia="楷体" w:cs="楷体"/>
                      <w:szCs w:val="24"/>
                    </w:rPr>
                    <w:t>到货日期</w:t>
                  </w:r>
                </w:p>
              </w:tc>
              <w:tc>
                <w:tcPr>
                  <w:tcW w:w="1660" w:type="dxa"/>
                  <w:noWrap w:val="0"/>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lang w:val="en-US" w:eastAsia="zh-CN"/>
                    </w:rPr>
                  </w:pPr>
                  <w:r>
                    <w:rPr>
                      <w:rFonts w:hint="eastAsia" w:ascii="楷体" w:hAnsi="楷体" w:eastAsia="楷体" w:cs="楷体"/>
                      <w:szCs w:val="24"/>
                      <w:lang w:val="en-US" w:eastAsia="zh-CN"/>
                    </w:rPr>
                    <w:t>质量证书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0"/>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rPr>
                  </w:pPr>
                  <w:r>
                    <w:rPr>
                      <w:rFonts w:hint="eastAsia" w:ascii="楷体" w:hAnsi="楷体" w:eastAsia="楷体" w:cs="楷体"/>
                      <w:szCs w:val="24"/>
                    </w:rPr>
                    <w:t>1</w:t>
                  </w:r>
                </w:p>
              </w:tc>
              <w:tc>
                <w:tcPr>
                  <w:tcW w:w="3626" w:type="dxa"/>
                  <w:noWrap w:val="0"/>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lang w:eastAsia="zh-CN"/>
                    </w:rPr>
                  </w:pPr>
                  <w:r>
                    <w:rPr>
                      <w:rFonts w:hint="eastAsia" w:ascii="楷体" w:hAnsi="楷体" w:eastAsia="楷体" w:cs="楷体"/>
                      <w:szCs w:val="24"/>
                      <w:lang w:val="en-US" w:eastAsia="zh-CN"/>
                    </w:rPr>
                    <w:t>空开</w:t>
                  </w:r>
                </w:p>
              </w:tc>
              <w:tc>
                <w:tcPr>
                  <w:tcW w:w="1700" w:type="dxa"/>
                  <w:noWrap w:val="0"/>
                  <w:vAlign w:val="center"/>
                </w:tcPr>
                <w:p>
                  <w:pPr>
                    <w:tabs>
                      <w:tab w:val="left" w:pos="111"/>
                    </w:tabs>
                    <w:autoSpaceDE w:val="0"/>
                    <w:autoSpaceDN w:val="0"/>
                    <w:adjustRightInd w:val="0"/>
                    <w:spacing w:line="360" w:lineRule="auto"/>
                    <w:ind w:left="115" w:leftChars="55" w:right="56" w:rightChars="0" w:firstLine="420" w:firstLineChars="200"/>
                    <w:rPr>
                      <w:rFonts w:hint="default" w:ascii="楷体" w:hAnsi="楷体" w:eastAsia="楷体" w:cs="楷体"/>
                      <w:szCs w:val="24"/>
                      <w:lang w:val="en-US" w:eastAsia="zh-CN"/>
                    </w:rPr>
                  </w:pPr>
                  <w:r>
                    <w:rPr>
                      <w:rFonts w:hint="eastAsia" w:ascii="楷体" w:hAnsi="楷体" w:eastAsia="楷体" w:cs="楷体"/>
                      <w:szCs w:val="24"/>
                      <w:lang w:val="en-US" w:eastAsia="zh-CN"/>
                    </w:rPr>
                    <w:t>2P16A</w:t>
                  </w:r>
                </w:p>
              </w:tc>
              <w:tc>
                <w:tcPr>
                  <w:tcW w:w="1100" w:type="dxa"/>
                  <w:noWrap w:val="0"/>
                  <w:vAlign w:val="center"/>
                </w:tcPr>
                <w:p>
                  <w:pPr>
                    <w:tabs>
                      <w:tab w:val="left" w:pos="111"/>
                    </w:tabs>
                    <w:autoSpaceDE w:val="0"/>
                    <w:autoSpaceDN w:val="0"/>
                    <w:adjustRightInd w:val="0"/>
                    <w:spacing w:line="360" w:lineRule="auto"/>
                    <w:ind w:right="56" w:rightChars="0" w:firstLine="210" w:firstLineChars="100"/>
                    <w:rPr>
                      <w:rFonts w:hint="default" w:ascii="楷体" w:hAnsi="楷体" w:eastAsia="楷体" w:cs="楷体"/>
                      <w:szCs w:val="24"/>
                      <w:lang w:val="en-US" w:eastAsia="zh-CN"/>
                    </w:rPr>
                  </w:pPr>
                  <w:r>
                    <w:rPr>
                      <w:rFonts w:hint="eastAsia" w:ascii="楷体" w:hAnsi="楷体" w:eastAsia="楷体" w:cs="楷体"/>
                      <w:szCs w:val="24"/>
                      <w:lang w:val="en-US" w:eastAsia="zh-CN"/>
                    </w:rPr>
                    <w:t>3个</w:t>
                  </w:r>
                </w:p>
              </w:tc>
              <w:tc>
                <w:tcPr>
                  <w:tcW w:w="1660" w:type="dxa"/>
                  <w:noWrap w:val="0"/>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eastAsia="zh-CN"/>
                    </w:rPr>
                  </w:pPr>
                </w:p>
              </w:tc>
              <w:tc>
                <w:tcPr>
                  <w:tcW w:w="1660" w:type="dxa"/>
                  <w:noWrap w:val="0"/>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lang w:val="en-US" w:eastAsia="zh-CN"/>
                    </w:rPr>
                  </w:pPr>
                  <w:r>
                    <w:rPr>
                      <w:rFonts w:hint="eastAsia" w:ascii="楷体" w:hAnsi="楷体" w:eastAsia="楷体" w:cs="楷体"/>
                      <w:szCs w:val="24"/>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0"/>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rPr>
                  </w:pPr>
                  <w:r>
                    <w:rPr>
                      <w:rFonts w:hint="eastAsia" w:ascii="楷体" w:hAnsi="楷体" w:eastAsia="楷体" w:cs="楷体"/>
                      <w:szCs w:val="24"/>
                    </w:rPr>
                    <w:t>2</w:t>
                  </w:r>
                </w:p>
              </w:tc>
              <w:tc>
                <w:tcPr>
                  <w:tcW w:w="3626" w:type="dxa"/>
                  <w:noWrap w:val="0"/>
                  <w:vAlign w:val="center"/>
                </w:tcPr>
                <w:p>
                  <w:pPr>
                    <w:tabs>
                      <w:tab w:val="left" w:pos="111"/>
                    </w:tabs>
                    <w:autoSpaceDE w:val="0"/>
                    <w:autoSpaceDN w:val="0"/>
                    <w:adjustRightInd w:val="0"/>
                    <w:spacing w:line="360" w:lineRule="auto"/>
                    <w:ind w:left="115" w:leftChars="55" w:right="56" w:rightChars="0" w:firstLine="420" w:firstLineChars="200"/>
                    <w:rPr>
                      <w:rFonts w:hint="default" w:ascii="楷体" w:hAnsi="楷体" w:eastAsia="楷体" w:cs="楷体"/>
                      <w:szCs w:val="24"/>
                      <w:lang w:val="en-US" w:eastAsia="zh-CN"/>
                    </w:rPr>
                  </w:pPr>
                  <w:r>
                    <w:rPr>
                      <w:rFonts w:hint="eastAsia" w:ascii="楷体" w:hAnsi="楷体" w:eastAsia="楷体" w:cs="楷体"/>
                      <w:szCs w:val="24"/>
                      <w:lang w:val="en-US" w:eastAsia="zh-CN"/>
                    </w:rPr>
                    <w:t>漏电保护器</w:t>
                  </w:r>
                </w:p>
              </w:tc>
              <w:tc>
                <w:tcPr>
                  <w:tcW w:w="1700" w:type="dxa"/>
                  <w:noWrap w:val="0"/>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r>
                    <w:rPr>
                      <w:rFonts w:hint="eastAsia" w:ascii="楷体" w:hAnsi="楷体" w:eastAsia="楷体" w:cs="楷体"/>
                      <w:szCs w:val="24"/>
                      <w:lang w:val="en-US" w:eastAsia="zh-CN"/>
                    </w:rPr>
                    <w:t>2P16A</w:t>
                  </w:r>
                </w:p>
              </w:tc>
              <w:tc>
                <w:tcPr>
                  <w:tcW w:w="1100" w:type="dxa"/>
                  <w:noWrap w:val="0"/>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3个</w:t>
                  </w:r>
                </w:p>
              </w:tc>
              <w:tc>
                <w:tcPr>
                  <w:tcW w:w="1660" w:type="dxa"/>
                  <w:noWrap w:val="0"/>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p>
              </w:tc>
              <w:tc>
                <w:tcPr>
                  <w:tcW w:w="1660" w:type="dxa"/>
                  <w:noWrap w:val="0"/>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r>
                    <w:rPr>
                      <w:rFonts w:hint="eastAsia" w:ascii="楷体" w:hAnsi="楷体" w:eastAsia="楷体" w:cs="楷体"/>
                      <w:szCs w:val="24"/>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0"/>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rPr>
                  </w:pPr>
                  <w:r>
                    <w:rPr>
                      <w:rFonts w:hint="eastAsia" w:ascii="楷体" w:hAnsi="楷体" w:eastAsia="楷体" w:cs="楷体"/>
                      <w:szCs w:val="24"/>
                    </w:rPr>
                    <w:t>3</w:t>
                  </w:r>
                </w:p>
              </w:tc>
              <w:tc>
                <w:tcPr>
                  <w:tcW w:w="3626" w:type="dxa"/>
                  <w:noWrap w:val="0"/>
                  <w:vAlign w:val="center"/>
                </w:tcPr>
                <w:p>
                  <w:pPr>
                    <w:tabs>
                      <w:tab w:val="left" w:pos="111"/>
                    </w:tabs>
                    <w:autoSpaceDE w:val="0"/>
                    <w:autoSpaceDN w:val="0"/>
                    <w:adjustRightInd w:val="0"/>
                    <w:spacing w:line="360" w:lineRule="auto"/>
                    <w:ind w:left="115" w:leftChars="55" w:right="56" w:rightChars="0" w:firstLine="420" w:firstLineChars="200"/>
                    <w:rPr>
                      <w:rFonts w:hint="default" w:ascii="楷体" w:hAnsi="楷体" w:eastAsia="楷体" w:cs="楷体"/>
                      <w:szCs w:val="24"/>
                      <w:lang w:val="en-US" w:eastAsia="zh-CN"/>
                    </w:rPr>
                  </w:pPr>
                  <w:r>
                    <w:rPr>
                      <w:rFonts w:hint="eastAsia" w:ascii="楷体" w:hAnsi="楷体" w:eastAsia="楷体" w:cs="楷体"/>
                      <w:szCs w:val="24"/>
                      <w:lang w:val="en-US" w:eastAsia="zh-CN"/>
                    </w:rPr>
                    <w:t>成套配电箱</w:t>
                  </w:r>
                </w:p>
              </w:tc>
              <w:tc>
                <w:tcPr>
                  <w:tcW w:w="1700" w:type="dxa"/>
                  <w:noWrap w:val="0"/>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r>
                    <w:rPr>
                      <w:rFonts w:hint="eastAsia" w:ascii="楷体" w:hAnsi="楷体" w:eastAsia="楷体" w:cs="楷体"/>
                      <w:szCs w:val="24"/>
                    </w:rPr>
                    <w:t>T-621A</w:t>
                  </w:r>
                </w:p>
              </w:tc>
              <w:tc>
                <w:tcPr>
                  <w:tcW w:w="1100" w:type="dxa"/>
                  <w:noWrap w:val="0"/>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2套</w:t>
                  </w:r>
                </w:p>
              </w:tc>
              <w:tc>
                <w:tcPr>
                  <w:tcW w:w="1660" w:type="dxa"/>
                  <w:noWrap w:val="0"/>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p>
              </w:tc>
              <w:tc>
                <w:tcPr>
                  <w:tcW w:w="1660" w:type="dxa"/>
                  <w:noWrap w:val="0"/>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r>
                    <w:rPr>
                      <w:rFonts w:hint="eastAsia" w:ascii="楷体" w:hAnsi="楷体" w:eastAsia="楷体" w:cs="楷体"/>
                      <w:szCs w:val="24"/>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0"/>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rPr>
                  </w:pPr>
                  <w:r>
                    <w:rPr>
                      <w:rFonts w:hint="eastAsia" w:ascii="楷体" w:hAnsi="楷体" w:eastAsia="楷体" w:cs="楷体"/>
                      <w:szCs w:val="24"/>
                    </w:rPr>
                    <w:t>4</w:t>
                  </w:r>
                </w:p>
              </w:tc>
              <w:tc>
                <w:tcPr>
                  <w:tcW w:w="3626" w:type="dxa"/>
                  <w:noWrap w:val="0"/>
                  <w:vAlign w:val="top"/>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lang w:eastAsia="zh-CN"/>
                    </w:rPr>
                  </w:pPr>
                  <w:r>
                    <w:rPr>
                      <w:rFonts w:hint="eastAsia" w:ascii="楷体" w:hAnsi="楷体" w:eastAsia="楷体" w:cs="楷体"/>
                      <w:szCs w:val="24"/>
                      <w:lang w:val="en-US" w:eastAsia="zh-CN"/>
                    </w:rPr>
                    <w:t>电表</w:t>
                  </w:r>
                </w:p>
              </w:tc>
              <w:tc>
                <w:tcPr>
                  <w:tcW w:w="1700" w:type="dxa"/>
                  <w:noWrap w:val="0"/>
                  <w:vAlign w:val="top"/>
                </w:tcPr>
                <w:p>
                  <w:pPr>
                    <w:tabs>
                      <w:tab w:val="left" w:pos="111"/>
                    </w:tabs>
                    <w:autoSpaceDE w:val="0"/>
                    <w:autoSpaceDN w:val="0"/>
                    <w:adjustRightInd w:val="0"/>
                    <w:spacing w:line="360" w:lineRule="auto"/>
                    <w:ind w:left="115" w:leftChars="55" w:right="56" w:rightChars="0" w:firstLine="420" w:firstLineChars="200"/>
                    <w:rPr>
                      <w:rFonts w:hint="default" w:ascii="楷体" w:hAnsi="楷体" w:eastAsia="楷体" w:cs="楷体"/>
                      <w:szCs w:val="24"/>
                      <w:lang w:val="en-US" w:eastAsia="zh-CN"/>
                    </w:rPr>
                  </w:pPr>
                  <w:r>
                    <w:rPr>
                      <w:rFonts w:hint="eastAsia" w:ascii="楷体" w:hAnsi="楷体" w:eastAsia="楷体" w:cs="楷体"/>
                      <w:szCs w:val="24"/>
                      <w:lang w:val="en-US" w:eastAsia="zh-CN"/>
                    </w:rPr>
                    <w:t>60A</w:t>
                  </w:r>
                </w:p>
              </w:tc>
              <w:tc>
                <w:tcPr>
                  <w:tcW w:w="1100" w:type="dxa"/>
                  <w:noWrap w:val="0"/>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1个</w:t>
                  </w:r>
                </w:p>
              </w:tc>
              <w:tc>
                <w:tcPr>
                  <w:tcW w:w="1660" w:type="dxa"/>
                  <w:noWrap w:val="0"/>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p>
              </w:tc>
              <w:tc>
                <w:tcPr>
                  <w:tcW w:w="1660" w:type="dxa"/>
                  <w:noWrap w:val="0"/>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r>
                    <w:rPr>
                      <w:rFonts w:hint="eastAsia" w:ascii="楷体" w:hAnsi="楷体" w:eastAsia="楷体" w:cs="楷体"/>
                      <w:szCs w:val="24"/>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0"/>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rPr>
                  </w:pPr>
                  <w:r>
                    <w:rPr>
                      <w:rFonts w:hint="eastAsia" w:ascii="楷体" w:hAnsi="楷体" w:eastAsia="楷体" w:cs="楷体"/>
                      <w:szCs w:val="24"/>
                    </w:rPr>
                    <w:t>5</w:t>
                  </w:r>
                </w:p>
              </w:tc>
              <w:tc>
                <w:tcPr>
                  <w:tcW w:w="3626" w:type="dxa"/>
                  <w:noWrap w:val="0"/>
                  <w:vAlign w:val="top"/>
                </w:tcPr>
                <w:p>
                  <w:pPr>
                    <w:tabs>
                      <w:tab w:val="left" w:pos="111"/>
                    </w:tabs>
                    <w:autoSpaceDE w:val="0"/>
                    <w:autoSpaceDN w:val="0"/>
                    <w:adjustRightInd w:val="0"/>
                    <w:spacing w:line="360" w:lineRule="auto"/>
                    <w:ind w:left="115" w:leftChars="55" w:right="56" w:rightChars="0" w:firstLine="420" w:firstLineChars="200"/>
                    <w:rPr>
                      <w:rFonts w:hint="default" w:ascii="楷体" w:hAnsi="楷体" w:eastAsia="楷体" w:cs="楷体"/>
                      <w:szCs w:val="24"/>
                      <w:lang w:val="en-US" w:eastAsia="zh-CN"/>
                    </w:rPr>
                  </w:pPr>
                  <w:r>
                    <w:rPr>
                      <w:rFonts w:hint="eastAsia" w:ascii="楷体" w:hAnsi="楷体" w:eastAsia="楷体" w:cs="楷体"/>
                      <w:szCs w:val="24"/>
                      <w:lang w:val="en-US" w:eastAsia="zh-CN"/>
                    </w:rPr>
                    <w:t>多媒体箱</w:t>
                  </w:r>
                </w:p>
              </w:tc>
              <w:tc>
                <w:tcPr>
                  <w:tcW w:w="1700" w:type="dxa"/>
                  <w:noWrap w:val="0"/>
                  <w:vAlign w:val="top"/>
                </w:tcPr>
                <w:p>
                  <w:pPr>
                    <w:tabs>
                      <w:tab w:val="left" w:pos="111"/>
                    </w:tabs>
                    <w:autoSpaceDE w:val="0"/>
                    <w:autoSpaceDN w:val="0"/>
                    <w:adjustRightInd w:val="0"/>
                    <w:spacing w:line="360" w:lineRule="auto"/>
                    <w:ind w:left="115" w:leftChars="55" w:right="56" w:rightChars="0" w:firstLine="420" w:firstLineChars="200"/>
                    <w:rPr>
                      <w:rFonts w:hint="default" w:ascii="楷体" w:hAnsi="楷体" w:eastAsia="楷体" w:cs="楷体"/>
                      <w:szCs w:val="24"/>
                      <w:lang w:val="en-US" w:eastAsia="zh-CN"/>
                    </w:rPr>
                  </w:pPr>
                  <w:r>
                    <w:rPr>
                      <w:rFonts w:hint="eastAsia" w:ascii="楷体" w:hAnsi="楷体" w:eastAsia="楷体" w:cs="楷体"/>
                      <w:szCs w:val="24"/>
                      <w:lang w:val="en-US" w:eastAsia="zh-CN"/>
                    </w:rPr>
                    <w:t>300*400</w:t>
                  </w:r>
                </w:p>
              </w:tc>
              <w:tc>
                <w:tcPr>
                  <w:tcW w:w="1100" w:type="dxa"/>
                  <w:noWrap w:val="0"/>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73个</w:t>
                  </w:r>
                </w:p>
              </w:tc>
              <w:tc>
                <w:tcPr>
                  <w:tcW w:w="1660" w:type="dxa"/>
                  <w:noWrap w:val="0"/>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p>
              </w:tc>
              <w:tc>
                <w:tcPr>
                  <w:tcW w:w="1660" w:type="dxa"/>
                  <w:noWrap w:val="0"/>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r>
                    <w:rPr>
                      <w:rFonts w:hint="eastAsia" w:ascii="楷体" w:hAnsi="楷体" w:eastAsia="楷体" w:cs="楷体"/>
                      <w:szCs w:val="24"/>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0"/>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rPr>
                  </w:pPr>
                  <w:r>
                    <w:rPr>
                      <w:rFonts w:hint="eastAsia" w:ascii="楷体" w:hAnsi="楷体" w:eastAsia="楷体" w:cs="楷体"/>
                      <w:szCs w:val="24"/>
                    </w:rPr>
                    <w:t>6</w:t>
                  </w:r>
                </w:p>
              </w:tc>
              <w:tc>
                <w:tcPr>
                  <w:tcW w:w="3626" w:type="dxa"/>
                  <w:noWrap w:val="0"/>
                  <w:vAlign w:val="top"/>
                </w:tcPr>
                <w:p>
                  <w:pPr>
                    <w:tabs>
                      <w:tab w:val="left" w:pos="111"/>
                    </w:tabs>
                    <w:autoSpaceDE w:val="0"/>
                    <w:autoSpaceDN w:val="0"/>
                    <w:adjustRightInd w:val="0"/>
                    <w:spacing w:line="360" w:lineRule="auto"/>
                    <w:ind w:left="115" w:leftChars="55" w:right="56" w:rightChars="0" w:firstLine="420" w:firstLineChars="200"/>
                    <w:rPr>
                      <w:rFonts w:hint="default" w:ascii="楷体" w:hAnsi="楷体" w:eastAsia="楷体" w:cs="楷体"/>
                      <w:szCs w:val="24"/>
                      <w:lang w:val="en-US" w:eastAsia="zh-CN"/>
                    </w:rPr>
                  </w:pPr>
                  <w:r>
                    <w:rPr>
                      <w:rFonts w:hint="eastAsia" w:ascii="楷体" w:hAnsi="楷体" w:eastAsia="楷体" w:cs="楷体"/>
                      <w:szCs w:val="24"/>
                      <w:lang w:val="en-US" w:eastAsia="zh-CN"/>
                    </w:rPr>
                    <w:t>低压电缆头</w:t>
                  </w:r>
                </w:p>
              </w:tc>
              <w:tc>
                <w:tcPr>
                  <w:tcW w:w="1700" w:type="dxa"/>
                  <w:noWrap w:val="0"/>
                  <w:vAlign w:val="top"/>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五芯冷缩户外4*240mm，1*120mm</w:t>
                  </w:r>
                </w:p>
              </w:tc>
              <w:tc>
                <w:tcPr>
                  <w:tcW w:w="1100" w:type="dxa"/>
                  <w:noWrap w:val="0"/>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2个</w:t>
                  </w:r>
                </w:p>
              </w:tc>
              <w:tc>
                <w:tcPr>
                  <w:tcW w:w="1660" w:type="dxa"/>
                  <w:noWrap w:val="0"/>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p>
              </w:tc>
              <w:tc>
                <w:tcPr>
                  <w:tcW w:w="1660" w:type="dxa"/>
                  <w:noWrap w:val="0"/>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r>
                    <w:rPr>
                      <w:rFonts w:hint="eastAsia" w:ascii="楷体" w:hAnsi="楷体" w:eastAsia="楷体" w:cs="楷体"/>
                      <w:szCs w:val="24"/>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0"/>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rPr>
                  </w:pPr>
                  <w:r>
                    <w:rPr>
                      <w:rFonts w:hint="eastAsia" w:ascii="楷体" w:hAnsi="楷体" w:eastAsia="楷体" w:cs="楷体"/>
                      <w:szCs w:val="24"/>
                    </w:rPr>
                    <w:t>7</w:t>
                  </w:r>
                </w:p>
              </w:tc>
              <w:tc>
                <w:tcPr>
                  <w:tcW w:w="3626" w:type="dxa"/>
                  <w:noWrap w:val="0"/>
                  <w:vAlign w:val="top"/>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r>
                    <w:rPr>
                      <w:rFonts w:hint="eastAsia" w:ascii="楷体" w:hAnsi="楷体" w:eastAsia="楷体" w:cs="楷体"/>
                      <w:szCs w:val="24"/>
                      <w:lang w:val="en-US" w:eastAsia="zh-CN"/>
                    </w:rPr>
                    <w:t>低压电缆头</w:t>
                  </w:r>
                </w:p>
              </w:tc>
              <w:tc>
                <w:tcPr>
                  <w:tcW w:w="1700" w:type="dxa"/>
                  <w:noWrap w:val="0"/>
                  <w:vAlign w:val="top"/>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冷缩35mm1.0KV户外</w:t>
                  </w:r>
                </w:p>
              </w:tc>
              <w:tc>
                <w:tcPr>
                  <w:tcW w:w="1100" w:type="dxa"/>
                  <w:noWrap w:val="0"/>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2个</w:t>
                  </w:r>
                </w:p>
              </w:tc>
              <w:tc>
                <w:tcPr>
                  <w:tcW w:w="1660" w:type="dxa"/>
                  <w:noWrap w:val="0"/>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rPr>
                  </w:pPr>
                </w:p>
              </w:tc>
              <w:tc>
                <w:tcPr>
                  <w:tcW w:w="1660" w:type="dxa"/>
                  <w:noWrap w:val="0"/>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r>
                    <w:rPr>
                      <w:rFonts w:hint="eastAsia" w:ascii="楷体" w:hAnsi="楷体" w:eastAsia="楷体" w:cs="楷体"/>
                      <w:szCs w:val="24"/>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0"/>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val="en-US" w:eastAsia="zh-CN"/>
                    </w:rPr>
                  </w:pPr>
                  <w:r>
                    <w:rPr>
                      <w:rFonts w:hint="eastAsia" w:ascii="楷体" w:hAnsi="楷体" w:eastAsia="楷体" w:cs="楷体"/>
                      <w:szCs w:val="24"/>
                      <w:lang w:val="en-US" w:eastAsia="zh-CN"/>
                    </w:rPr>
                    <w:t>8</w:t>
                  </w:r>
                </w:p>
              </w:tc>
              <w:tc>
                <w:tcPr>
                  <w:tcW w:w="3626" w:type="dxa"/>
                  <w:noWrap w:val="0"/>
                  <w:vAlign w:val="top"/>
                </w:tcPr>
                <w:p>
                  <w:pPr>
                    <w:tabs>
                      <w:tab w:val="left" w:pos="111"/>
                    </w:tabs>
                    <w:autoSpaceDE w:val="0"/>
                    <w:autoSpaceDN w:val="0"/>
                    <w:adjustRightInd w:val="0"/>
                    <w:spacing w:line="360" w:lineRule="auto"/>
                    <w:ind w:left="115" w:leftChars="55" w:right="56" w:rightChars="0" w:firstLine="420" w:firstLineChars="200"/>
                    <w:rPr>
                      <w:rFonts w:hint="default" w:ascii="楷体" w:hAnsi="楷体" w:eastAsia="楷体" w:cs="楷体"/>
                      <w:szCs w:val="24"/>
                      <w:lang w:val="en-US" w:eastAsia="zh-CN"/>
                    </w:rPr>
                  </w:pPr>
                  <w:r>
                    <w:rPr>
                      <w:rFonts w:hint="eastAsia" w:ascii="楷体" w:hAnsi="楷体" w:eastAsia="楷体" w:cs="楷体"/>
                      <w:szCs w:val="24"/>
                      <w:lang w:val="en-US" w:eastAsia="zh-CN"/>
                    </w:rPr>
                    <w:t>接地铜排</w:t>
                  </w:r>
                </w:p>
              </w:tc>
              <w:tc>
                <w:tcPr>
                  <w:tcW w:w="1700" w:type="dxa"/>
                  <w:noWrap w:val="0"/>
                  <w:vAlign w:val="top"/>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300*100*10</w:t>
                  </w:r>
                </w:p>
              </w:tc>
              <w:tc>
                <w:tcPr>
                  <w:tcW w:w="1100" w:type="dxa"/>
                  <w:noWrap w:val="0"/>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1个</w:t>
                  </w:r>
                </w:p>
              </w:tc>
              <w:tc>
                <w:tcPr>
                  <w:tcW w:w="1660" w:type="dxa"/>
                  <w:noWrap w:val="0"/>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lang w:val="en-US" w:eastAsia="zh-CN"/>
                    </w:rPr>
                  </w:pPr>
                </w:p>
              </w:tc>
              <w:tc>
                <w:tcPr>
                  <w:tcW w:w="1660" w:type="dxa"/>
                  <w:noWrap w:val="0"/>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lang w:val="en-US" w:eastAsia="zh-CN"/>
                    </w:rPr>
                  </w:pPr>
                  <w:r>
                    <w:rPr>
                      <w:rFonts w:hint="eastAsia" w:ascii="楷体" w:hAnsi="楷体" w:eastAsia="楷体" w:cs="楷体"/>
                      <w:szCs w:val="24"/>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0"/>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val="en-US" w:eastAsia="zh-CN"/>
                    </w:rPr>
                  </w:pPr>
                  <w:r>
                    <w:rPr>
                      <w:rFonts w:hint="eastAsia" w:ascii="楷体" w:hAnsi="楷体" w:eastAsia="楷体" w:cs="楷体"/>
                      <w:szCs w:val="24"/>
                      <w:lang w:val="en-US" w:eastAsia="zh-CN"/>
                    </w:rPr>
                    <w:t>9</w:t>
                  </w:r>
                </w:p>
              </w:tc>
              <w:tc>
                <w:tcPr>
                  <w:tcW w:w="3626" w:type="dxa"/>
                  <w:noWrap w:val="0"/>
                  <w:vAlign w:val="top"/>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lang w:val="en-US" w:eastAsia="zh-CN"/>
                    </w:rPr>
                  </w:pPr>
                  <w:r>
                    <w:rPr>
                      <w:rFonts w:hint="eastAsia" w:ascii="楷体" w:hAnsi="楷体" w:eastAsia="楷体" w:cs="楷体"/>
                      <w:szCs w:val="24"/>
                      <w:lang w:val="en-US" w:eastAsia="zh-CN"/>
                    </w:rPr>
                    <w:t>塑料箱</w:t>
                  </w:r>
                </w:p>
              </w:tc>
              <w:tc>
                <w:tcPr>
                  <w:tcW w:w="1700" w:type="dxa"/>
                  <w:noWrap w:val="0"/>
                  <w:vAlign w:val="top"/>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lang w:val="en-US" w:eastAsia="zh-CN"/>
                    </w:rPr>
                  </w:pPr>
                </w:p>
              </w:tc>
              <w:tc>
                <w:tcPr>
                  <w:tcW w:w="1100" w:type="dxa"/>
                  <w:noWrap w:val="0"/>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1个</w:t>
                  </w:r>
                </w:p>
              </w:tc>
              <w:tc>
                <w:tcPr>
                  <w:tcW w:w="1660" w:type="dxa"/>
                  <w:noWrap w:val="0"/>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val="en-US" w:eastAsia="zh-CN"/>
                    </w:rPr>
                  </w:pPr>
                </w:p>
              </w:tc>
              <w:tc>
                <w:tcPr>
                  <w:tcW w:w="1660" w:type="dxa"/>
                  <w:noWrap w:val="0"/>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lang w:val="en-US" w:eastAsia="zh-CN"/>
                    </w:rPr>
                  </w:pPr>
                  <w:r>
                    <w:rPr>
                      <w:rFonts w:hint="eastAsia" w:ascii="楷体" w:hAnsi="楷体" w:eastAsia="楷体" w:cs="楷体"/>
                      <w:szCs w:val="24"/>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0"/>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10</w:t>
                  </w:r>
                </w:p>
              </w:tc>
              <w:tc>
                <w:tcPr>
                  <w:tcW w:w="3626" w:type="dxa"/>
                  <w:noWrap w:val="0"/>
                  <w:vAlign w:val="top"/>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lang w:val="en-US" w:eastAsia="zh-CN"/>
                    </w:rPr>
                  </w:pPr>
                  <w:r>
                    <w:rPr>
                      <w:rFonts w:hint="eastAsia" w:ascii="楷体" w:hAnsi="楷体" w:eastAsia="楷体" w:cs="楷体"/>
                      <w:szCs w:val="24"/>
                      <w:lang w:val="en-US" w:eastAsia="zh-CN"/>
                    </w:rPr>
                    <w:t>绝缘子</w:t>
                  </w:r>
                </w:p>
              </w:tc>
              <w:tc>
                <w:tcPr>
                  <w:tcW w:w="1700" w:type="dxa"/>
                  <w:noWrap w:val="0"/>
                  <w:vAlign w:val="top"/>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lang w:val="en-US" w:eastAsia="zh-CN"/>
                    </w:rPr>
                  </w:pPr>
                </w:p>
              </w:tc>
              <w:tc>
                <w:tcPr>
                  <w:tcW w:w="1100" w:type="dxa"/>
                  <w:noWrap w:val="0"/>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rPr>
                  </w:pPr>
                  <w:r>
                    <w:rPr>
                      <w:rFonts w:hint="eastAsia" w:ascii="楷体" w:hAnsi="楷体" w:eastAsia="楷体" w:cs="楷体"/>
                      <w:szCs w:val="24"/>
                      <w:lang w:val="en-US" w:eastAsia="zh-CN"/>
                    </w:rPr>
                    <w:t>6个</w:t>
                  </w:r>
                </w:p>
              </w:tc>
              <w:tc>
                <w:tcPr>
                  <w:tcW w:w="1660" w:type="dxa"/>
                  <w:noWrap w:val="0"/>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lang w:val="en-US" w:eastAsia="zh-CN"/>
                    </w:rPr>
                  </w:pPr>
                </w:p>
              </w:tc>
              <w:tc>
                <w:tcPr>
                  <w:tcW w:w="1660" w:type="dxa"/>
                  <w:noWrap w:val="0"/>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lang w:val="en-US" w:eastAsia="zh-CN"/>
                    </w:rPr>
                  </w:pPr>
                  <w:r>
                    <w:rPr>
                      <w:rFonts w:hint="eastAsia" w:ascii="楷体" w:hAnsi="楷体" w:eastAsia="楷体" w:cs="楷体"/>
                      <w:szCs w:val="24"/>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0"/>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合计</w:t>
                  </w:r>
                </w:p>
              </w:tc>
              <w:tc>
                <w:tcPr>
                  <w:tcW w:w="9746" w:type="dxa"/>
                  <w:gridSpan w:val="5"/>
                  <w:noWrap w:val="0"/>
                  <w:vAlign w:val="top"/>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 xml:space="preserve">                                         6568.00元</w:t>
                  </w:r>
                </w:p>
              </w:tc>
            </w:tr>
          </w:tbl>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r>
              <w:rPr>
                <w:rFonts w:hint="eastAsia" w:ascii="楷体" w:hAnsi="楷体" w:eastAsia="楷体" w:cs="楷体"/>
                <w:szCs w:val="24"/>
              </w:rPr>
              <w:t>编制：</w:t>
            </w:r>
            <w:r>
              <w:rPr>
                <w:rFonts w:hint="eastAsia" w:ascii="楷体" w:hAnsi="楷体" w:eastAsia="楷体" w:cs="楷体"/>
                <w:szCs w:val="24"/>
                <w:lang w:eastAsia="zh-CN"/>
              </w:rPr>
              <w:t>王飞燕</w:t>
            </w:r>
            <w:r>
              <w:rPr>
                <w:rFonts w:hint="eastAsia" w:ascii="楷体" w:hAnsi="楷体" w:eastAsia="楷体" w:cs="楷体"/>
                <w:szCs w:val="24"/>
              </w:rPr>
              <w:t>，</w:t>
            </w:r>
            <w:r>
              <w:rPr>
                <w:rFonts w:hint="eastAsia" w:ascii="楷体" w:hAnsi="楷体" w:eastAsia="楷体" w:cs="楷体"/>
                <w:szCs w:val="24"/>
                <w:lang w:val="en-US" w:eastAsia="zh-CN"/>
              </w:rPr>
              <w:t xml:space="preserve">    </w:t>
            </w:r>
            <w:r>
              <w:rPr>
                <w:rFonts w:hint="eastAsia" w:ascii="楷体" w:hAnsi="楷体" w:eastAsia="楷体" w:cs="楷体"/>
                <w:szCs w:val="24"/>
              </w:rPr>
              <w:t>批准：</w:t>
            </w:r>
            <w:r>
              <w:rPr>
                <w:rFonts w:hint="eastAsia" w:ascii="楷体" w:hAnsi="楷体" w:eastAsia="楷体" w:cs="楷体"/>
                <w:szCs w:val="24"/>
                <w:lang w:eastAsia="zh-CN"/>
              </w:rPr>
              <w:t>闵慧</w:t>
            </w:r>
            <w:r>
              <w:rPr>
                <w:rFonts w:hint="eastAsia" w:ascii="楷体" w:hAnsi="楷体" w:eastAsia="楷体" w:cs="楷体"/>
                <w:szCs w:val="24"/>
              </w:rPr>
              <w:t>。</w:t>
            </w:r>
          </w:p>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r>
              <w:rPr>
                <w:rFonts w:hint="eastAsia" w:ascii="楷体" w:hAnsi="楷体" w:eastAsia="楷体" w:cs="楷体"/>
                <w:szCs w:val="24"/>
              </w:rPr>
              <w:t>提供给外部供方的信息表述清晰、充分并经过了批准，能涵盖公司认证范围等的产品。</w:t>
            </w:r>
          </w:p>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r>
              <w:rPr>
                <w:rFonts w:hint="eastAsia" w:ascii="楷体" w:hAnsi="楷体" w:eastAsia="楷体" w:cs="楷体"/>
                <w:szCs w:val="24"/>
              </w:rPr>
              <w:t>查到20</w:t>
            </w:r>
            <w:r>
              <w:rPr>
                <w:rFonts w:hint="eastAsia" w:ascii="楷体" w:hAnsi="楷体" w:eastAsia="楷体" w:cs="楷体"/>
                <w:szCs w:val="24"/>
                <w:lang w:val="en-US" w:eastAsia="zh-CN"/>
              </w:rPr>
              <w:t>21</w:t>
            </w:r>
            <w:r>
              <w:rPr>
                <w:rFonts w:hint="eastAsia" w:ascii="楷体" w:hAnsi="楷体" w:eastAsia="楷体" w:cs="楷体"/>
                <w:szCs w:val="24"/>
              </w:rPr>
              <w:t>.2.2</w:t>
            </w:r>
            <w:r>
              <w:rPr>
                <w:rFonts w:hint="eastAsia" w:ascii="楷体" w:hAnsi="楷体" w:eastAsia="楷体" w:cs="楷体"/>
                <w:szCs w:val="24"/>
                <w:lang w:val="en-US" w:eastAsia="zh-CN"/>
              </w:rPr>
              <w:t>0</w:t>
            </w:r>
            <w:r>
              <w:rPr>
                <w:rFonts w:hint="eastAsia" w:ascii="楷体" w:hAnsi="楷体" w:eastAsia="楷体" w:cs="楷体"/>
                <w:szCs w:val="24"/>
              </w:rPr>
              <w:t>日</w:t>
            </w:r>
            <w:r>
              <w:rPr>
                <w:rFonts w:hint="eastAsia" w:ascii="楷体" w:hAnsi="楷体" w:eastAsia="楷体" w:cs="楷体"/>
                <w:szCs w:val="24"/>
                <w:lang w:val="en-US" w:eastAsia="zh-CN"/>
              </w:rPr>
              <w:t>成都亨通光通信有限公司的《产品购销合同》</w:t>
            </w:r>
            <w:r>
              <w:rPr>
                <w:rFonts w:hint="eastAsia" w:ascii="楷体" w:hAnsi="楷体" w:eastAsia="楷体" w:cs="楷体"/>
                <w:szCs w:val="24"/>
              </w:rPr>
              <w:t>，</w:t>
            </w:r>
            <w:r>
              <w:rPr>
                <w:rFonts w:hint="eastAsia" w:ascii="楷体" w:hAnsi="楷体" w:eastAsia="楷体" w:cs="楷体"/>
                <w:szCs w:val="24"/>
                <w:lang w:val="en-US" w:eastAsia="zh-CN"/>
              </w:rPr>
              <w:t>产品名称、品牌、型号规格、数量、单位、单价、金额、</w:t>
            </w:r>
            <w:r>
              <w:rPr>
                <w:rFonts w:hint="eastAsia" w:ascii="楷体" w:hAnsi="楷体" w:eastAsia="楷体" w:cs="楷体"/>
                <w:szCs w:val="24"/>
              </w:rPr>
              <w:t>含运输协议，明确了名称、到达地址、数量、价格、理赔等要求。</w:t>
            </w:r>
          </w:p>
          <w:tbl>
            <w:tblPr>
              <w:tblStyle w:val="9"/>
              <w:tblpPr w:leftFromText="180" w:rightFromText="180" w:vertAnchor="text" w:horzAnchor="page" w:tblpX="103" w:tblpY="300"/>
              <w:tblOverlap w:val="never"/>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0"/>
              <w:gridCol w:w="1177"/>
              <w:gridCol w:w="1639"/>
              <w:gridCol w:w="870"/>
              <w:gridCol w:w="880"/>
              <w:gridCol w:w="1322"/>
              <w:gridCol w:w="1178"/>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val="en-US" w:eastAsia="zh-CN"/>
                    </w:rPr>
                  </w:pPr>
                  <w:r>
                    <w:rPr>
                      <w:rFonts w:hint="eastAsia" w:ascii="楷体" w:hAnsi="楷体" w:eastAsia="楷体" w:cs="楷体"/>
                      <w:szCs w:val="24"/>
                      <w:lang w:val="en-US" w:eastAsia="zh-CN"/>
                    </w:rPr>
                    <w:t>序号</w:t>
                  </w:r>
                </w:p>
              </w:tc>
              <w:tc>
                <w:tcPr>
                  <w:tcW w:w="1630"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产品名称</w:t>
                  </w:r>
                </w:p>
              </w:tc>
              <w:tc>
                <w:tcPr>
                  <w:tcW w:w="1177"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val="en-US" w:eastAsia="zh-CN"/>
                    </w:rPr>
                  </w:pPr>
                  <w:r>
                    <w:rPr>
                      <w:rFonts w:hint="eastAsia" w:ascii="楷体" w:hAnsi="楷体" w:eastAsia="楷体" w:cs="楷体"/>
                      <w:szCs w:val="24"/>
                      <w:lang w:val="en-US" w:eastAsia="zh-CN"/>
                    </w:rPr>
                    <w:t>品牌</w:t>
                  </w:r>
                </w:p>
              </w:tc>
              <w:tc>
                <w:tcPr>
                  <w:tcW w:w="1639"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val="en-US" w:eastAsia="zh-CN"/>
                    </w:rPr>
                  </w:pPr>
                  <w:r>
                    <w:rPr>
                      <w:rFonts w:hint="eastAsia" w:ascii="楷体" w:hAnsi="楷体" w:eastAsia="楷体" w:cs="楷体"/>
                      <w:szCs w:val="24"/>
                      <w:lang w:val="en-US" w:eastAsia="zh-CN"/>
                    </w:rPr>
                    <w:t>型号规格</w:t>
                  </w:r>
                </w:p>
              </w:tc>
              <w:tc>
                <w:tcPr>
                  <w:tcW w:w="870"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val="en-US" w:eastAsia="zh-CN"/>
                    </w:rPr>
                  </w:pPr>
                  <w:r>
                    <w:rPr>
                      <w:rFonts w:hint="eastAsia" w:ascii="楷体" w:hAnsi="楷体" w:eastAsia="楷体" w:cs="楷体"/>
                      <w:szCs w:val="24"/>
                      <w:lang w:val="en-US" w:eastAsia="zh-CN"/>
                    </w:rPr>
                    <w:t>数量</w:t>
                  </w:r>
                </w:p>
              </w:tc>
              <w:tc>
                <w:tcPr>
                  <w:tcW w:w="880"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val="en-US" w:eastAsia="zh-CN"/>
                    </w:rPr>
                  </w:pPr>
                  <w:r>
                    <w:rPr>
                      <w:rFonts w:hint="eastAsia" w:ascii="楷体" w:hAnsi="楷体" w:eastAsia="楷体" w:cs="楷体"/>
                      <w:szCs w:val="24"/>
                      <w:lang w:val="en-US" w:eastAsia="zh-CN"/>
                    </w:rPr>
                    <w:t>单位</w:t>
                  </w:r>
                </w:p>
              </w:tc>
              <w:tc>
                <w:tcPr>
                  <w:tcW w:w="1322"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val="en-US" w:eastAsia="zh-CN"/>
                    </w:rPr>
                  </w:pPr>
                  <w:r>
                    <w:rPr>
                      <w:rFonts w:hint="eastAsia" w:ascii="楷体" w:hAnsi="楷体" w:eastAsia="楷体" w:cs="楷体"/>
                      <w:szCs w:val="24"/>
                      <w:lang w:val="en-US" w:eastAsia="zh-CN"/>
                    </w:rPr>
                    <w:t>单价</w:t>
                  </w:r>
                </w:p>
              </w:tc>
              <w:tc>
                <w:tcPr>
                  <w:tcW w:w="1178"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val="en-US" w:eastAsia="zh-CN"/>
                    </w:rPr>
                  </w:pPr>
                  <w:r>
                    <w:rPr>
                      <w:rFonts w:hint="eastAsia" w:ascii="楷体" w:hAnsi="楷体" w:eastAsia="楷体" w:cs="楷体"/>
                      <w:szCs w:val="24"/>
                      <w:lang w:val="en-US" w:eastAsia="zh-CN"/>
                    </w:rPr>
                    <w:t>金额</w:t>
                  </w:r>
                </w:p>
              </w:tc>
              <w:tc>
                <w:tcPr>
                  <w:tcW w:w="1178"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val="en-US" w:eastAsia="zh-CN"/>
                    </w:rPr>
                  </w:pPr>
                  <w:r>
                    <w:rPr>
                      <w:rFonts w:hint="eastAsia" w:ascii="楷体" w:hAnsi="楷体" w:eastAsia="楷体" w:cs="楷体"/>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val="en-US" w:eastAsia="zh-CN"/>
                    </w:rPr>
                  </w:pPr>
                  <w:r>
                    <w:rPr>
                      <w:rFonts w:hint="eastAsia" w:ascii="楷体" w:hAnsi="楷体" w:eastAsia="楷体" w:cs="楷体"/>
                      <w:szCs w:val="24"/>
                      <w:lang w:val="en-US" w:eastAsia="zh-CN"/>
                    </w:rPr>
                    <w:t>1</w:t>
                  </w:r>
                </w:p>
              </w:tc>
              <w:tc>
                <w:tcPr>
                  <w:tcW w:w="1630"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兔跳光交箱</w:t>
                  </w:r>
                </w:p>
              </w:tc>
              <w:tc>
                <w:tcPr>
                  <w:tcW w:w="1177"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p>
              </w:tc>
              <w:tc>
                <w:tcPr>
                  <w:tcW w:w="1639"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960芯</w:t>
                  </w:r>
                </w:p>
              </w:tc>
              <w:tc>
                <w:tcPr>
                  <w:tcW w:w="870"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val="en-US" w:eastAsia="zh-CN"/>
                    </w:rPr>
                  </w:pPr>
                  <w:r>
                    <w:rPr>
                      <w:rFonts w:hint="eastAsia" w:ascii="楷体" w:hAnsi="楷体" w:eastAsia="楷体" w:cs="楷体"/>
                      <w:szCs w:val="24"/>
                      <w:lang w:val="en-US" w:eastAsia="zh-CN"/>
                    </w:rPr>
                    <w:t>1</w:t>
                  </w:r>
                </w:p>
              </w:tc>
              <w:tc>
                <w:tcPr>
                  <w:tcW w:w="880"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个</w:t>
                  </w:r>
                </w:p>
              </w:tc>
              <w:tc>
                <w:tcPr>
                  <w:tcW w:w="1322"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6500</w:t>
                  </w:r>
                </w:p>
              </w:tc>
              <w:tc>
                <w:tcPr>
                  <w:tcW w:w="1178"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rPr>
                  </w:pPr>
                  <w:r>
                    <w:rPr>
                      <w:rFonts w:hint="eastAsia" w:ascii="楷体" w:hAnsi="楷体" w:eastAsia="楷体" w:cs="楷体"/>
                      <w:szCs w:val="24"/>
                      <w:lang w:val="en-US" w:eastAsia="zh-CN"/>
                    </w:rPr>
                    <w:t>6500</w:t>
                  </w:r>
                </w:p>
              </w:tc>
              <w:tc>
                <w:tcPr>
                  <w:tcW w:w="1178" w:type="dxa"/>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val="en-US" w:eastAsia="zh-CN"/>
                    </w:rPr>
                  </w:pPr>
                  <w:r>
                    <w:rPr>
                      <w:rFonts w:hint="eastAsia" w:ascii="楷体" w:hAnsi="楷体" w:eastAsia="楷体" w:cs="楷体"/>
                      <w:szCs w:val="24"/>
                      <w:lang w:val="en-US" w:eastAsia="zh-CN"/>
                    </w:rPr>
                    <w:t>2</w:t>
                  </w:r>
                </w:p>
              </w:tc>
              <w:tc>
                <w:tcPr>
                  <w:tcW w:w="1630" w:type="dxa"/>
                  <w:vAlign w:val="center"/>
                </w:tcPr>
                <w:p>
                  <w:pPr>
                    <w:tabs>
                      <w:tab w:val="left" w:pos="111"/>
                    </w:tabs>
                    <w:autoSpaceDE w:val="0"/>
                    <w:autoSpaceDN w:val="0"/>
                    <w:adjustRightInd w:val="0"/>
                    <w:spacing w:line="360" w:lineRule="auto"/>
                    <w:ind w:left="115" w:leftChars="55" w:right="56" w:rightChars="0" w:firstLine="420" w:firstLineChars="200"/>
                    <w:rPr>
                      <w:rFonts w:hint="default" w:ascii="楷体" w:hAnsi="楷体" w:eastAsia="楷体" w:cs="楷体"/>
                      <w:szCs w:val="24"/>
                      <w:lang w:val="en-US" w:eastAsia="zh-CN"/>
                    </w:rPr>
                  </w:pPr>
                  <w:r>
                    <w:rPr>
                      <w:rFonts w:hint="eastAsia" w:ascii="楷体" w:hAnsi="楷体" w:eastAsia="楷体" w:cs="楷体"/>
                      <w:szCs w:val="24"/>
                      <w:lang w:val="en-US" w:eastAsia="zh-CN"/>
                    </w:rPr>
                    <w:t>光缆</w:t>
                  </w:r>
                </w:p>
              </w:tc>
              <w:tc>
                <w:tcPr>
                  <w:tcW w:w="1177" w:type="dxa"/>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lang w:val="en-US" w:eastAsia="zh-CN"/>
                    </w:rPr>
                  </w:pPr>
                </w:p>
              </w:tc>
              <w:tc>
                <w:tcPr>
                  <w:tcW w:w="1639"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GYFTY-8D</w:t>
                  </w:r>
                </w:p>
              </w:tc>
              <w:tc>
                <w:tcPr>
                  <w:tcW w:w="870"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5000</w:t>
                  </w:r>
                </w:p>
              </w:tc>
              <w:tc>
                <w:tcPr>
                  <w:tcW w:w="880"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米</w:t>
                  </w:r>
                </w:p>
              </w:tc>
              <w:tc>
                <w:tcPr>
                  <w:tcW w:w="1322" w:type="dxa"/>
                  <w:vAlign w:val="center"/>
                </w:tcPr>
                <w:p>
                  <w:pPr>
                    <w:tabs>
                      <w:tab w:val="left" w:pos="111"/>
                    </w:tabs>
                    <w:autoSpaceDE w:val="0"/>
                    <w:autoSpaceDN w:val="0"/>
                    <w:adjustRightInd w:val="0"/>
                    <w:spacing w:line="360" w:lineRule="auto"/>
                    <w:ind w:right="56" w:rightChars="0"/>
                    <w:jc w:val="left"/>
                    <w:rPr>
                      <w:rFonts w:hint="default" w:ascii="楷体" w:hAnsi="楷体" w:eastAsia="楷体" w:cs="楷体"/>
                      <w:szCs w:val="24"/>
                      <w:lang w:val="en-US" w:eastAsia="zh-CN"/>
                    </w:rPr>
                  </w:pPr>
                  <w:r>
                    <w:rPr>
                      <w:rFonts w:hint="eastAsia" w:ascii="楷体" w:hAnsi="楷体" w:eastAsia="楷体" w:cs="楷体"/>
                      <w:szCs w:val="24"/>
                      <w:lang w:val="en-US" w:eastAsia="zh-CN"/>
                    </w:rPr>
                    <w:t>1.15</w:t>
                  </w:r>
                </w:p>
              </w:tc>
              <w:tc>
                <w:tcPr>
                  <w:tcW w:w="1178"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5750</w:t>
                  </w:r>
                </w:p>
              </w:tc>
              <w:tc>
                <w:tcPr>
                  <w:tcW w:w="1178" w:type="dxa"/>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val="en-US" w:eastAsia="zh-CN"/>
                    </w:rPr>
                  </w:pPr>
                  <w:r>
                    <w:rPr>
                      <w:rFonts w:hint="eastAsia" w:ascii="楷体" w:hAnsi="楷体" w:eastAsia="楷体" w:cs="楷体"/>
                      <w:szCs w:val="24"/>
                      <w:lang w:val="en-US" w:eastAsia="zh-CN"/>
                    </w:rPr>
                    <w:t>3</w:t>
                  </w:r>
                </w:p>
              </w:tc>
              <w:tc>
                <w:tcPr>
                  <w:tcW w:w="1630" w:type="dxa"/>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lang w:val="en-US" w:eastAsia="zh-CN"/>
                    </w:rPr>
                  </w:pPr>
                  <w:r>
                    <w:rPr>
                      <w:rFonts w:hint="eastAsia" w:ascii="楷体" w:hAnsi="楷体" w:eastAsia="楷体" w:cs="楷体"/>
                      <w:szCs w:val="24"/>
                      <w:lang w:val="en-US" w:eastAsia="zh-CN"/>
                    </w:rPr>
                    <w:t>跳纤</w:t>
                  </w:r>
                </w:p>
              </w:tc>
              <w:tc>
                <w:tcPr>
                  <w:tcW w:w="1177" w:type="dxa"/>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lang w:val="en-US" w:eastAsia="zh-CN"/>
                    </w:rPr>
                  </w:pPr>
                </w:p>
              </w:tc>
              <w:tc>
                <w:tcPr>
                  <w:tcW w:w="1639"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SC-SC3米</w:t>
                  </w:r>
                </w:p>
              </w:tc>
              <w:tc>
                <w:tcPr>
                  <w:tcW w:w="870"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2000</w:t>
                  </w:r>
                </w:p>
              </w:tc>
              <w:tc>
                <w:tcPr>
                  <w:tcW w:w="880"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米</w:t>
                  </w:r>
                </w:p>
              </w:tc>
              <w:tc>
                <w:tcPr>
                  <w:tcW w:w="1322"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2.4</w:t>
                  </w:r>
                </w:p>
              </w:tc>
              <w:tc>
                <w:tcPr>
                  <w:tcW w:w="1178"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4800</w:t>
                  </w:r>
                </w:p>
              </w:tc>
              <w:tc>
                <w:tcPr>
                  <w:tcW w:w="1178" w:type="dxa"/>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val="en-US" w:eastAsia="zh-CN"/>
                    </w:rPr>
                  </w:pPr>
                  <w:r>
                    <w:rPr>
                      <w:rFonts w:hint="eastAsia" w:ascii="楷体" w:hAnsi="楷体" w:eastAsia="楷体" w:cs="楷体"/>
                      <w:szCs w:val="24"/>
                      <w:lang w:val="en-US" w:eastAsia="zh-CN"/>
                    </w:rPr>
                    <w:t>4</w:t>
                  </w:r>
                </w:p>
              </w:tc>
              <w:tc>
                <w:tcPr>
                  <w:tcW w:w="1630"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终端盒</w:t>
                  </w:r>
                </w:p>
              </w:tc>
              <w:tc>
                <w:tcPr>
                  <w:tcW w:w="1177" w:type="dxa"/>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lang w:val="en-US" w:eastAsia="zh-CN"/>
                    </w:rPr>
                  </w:pPr>
                </w:p>
              </w:tc>
              <w:tc>
                <w:tcPr>
                  <w:tcW w:w="1639"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12芯</w:t>
                  </w:r>
                </w:p>
              </w:tc>
              <w:tc>
                <w:tcPr>
                  <w:tcW w:w="870"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500</w:t>
                  </w:r>
                </w:p>
              </w:tc>
              <w:tc>
                <w:tcPr>
                  <w:tcW w:w="880"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val="en-US" w:eastAsia="zh-CN"/>
                    </w:rPr>
                  </w:pPr>
                  <w:r>
                    <w:rPr>
                      <w:rFonts w:hint="eastAsia" w:ascii="楷体" w:hAnsi="楷体" w:eastAsia="楷体" w:cs="楷体"/>
                      <w:szCs w:val="24"/>
                      <w:lang w:val="en-US" w:eastAsia="zh-CN"/>
                    </w:rPr>
                    <w:t>米</w:t>
                  </w:r>
                </w:p>
              </w:tc>
              <w:tc>
                <w:tcPr>
                  <w:tcW w:w="1322"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21</w:t>
                  </w:r>
                </w:p>
              </w:tc>
              <w:tc>
                <w:tcPr>
                  <w:tcW w:w="1178"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10500</w:t>
                  </w:r>
                </w:p>
              </w:tc>
              <w:tc>
                <w:tcPr>
                  <w:tcW w:w="1178" w:type="dxa"/>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val="en-US" w:eastAsia="zh-CN"/>
                    </w:rPr>
                  </w:pPr>
                  <w:r>
                    <w:rPr>
                      <w:rFonts w:hint="eastAsia" w:ascii="楷体" w:hAnsi="楷体" w:eastAsia="楷体" w:cs="楷体"/>
                      <w:szCs w:val="24"/>
                      <w:lang w:val="en-US" w:eastAsia="zh-CN"/>
                    </w:rPr>
                    <w:t>5</w:t>
                  </w:r>
                </w:p>
              </w:tc>
              <w:tc>
                <w:tcPr>
                  <w:tcW w:w="1630"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分光器</w:t>
                  </w:r>
                </w:p>
              </w:tc>
              <w:tc>
                <w:tcPr>
                  <w:tcW w:w="1177" w:type="dxa"/>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lang w:val="en-US" w:eastAsia="zh-CN"/>
                    </w:rPr>
                  </w:pPr>
                </w:p>
              </w:tc>
              <w:tc>
                <w:tcPr>
                  <w:tcW w:w="1639"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1：8</w:t>
                  </w:r>
                </w:p>
              </w:tc>
              <w:tc>
                <w:tcPr>
                  <w:tcW w:w="870"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200</w:t>
                  </w:r>
                </w:p>
              </w:tc>
              <w:tc>
                <w:tcPr>
                  <w:tcW w:w="880"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rPr>
                  </w:pPr>
                </w:p>
              </w:tc>
              <w:tc>
                <w:tcPr>
                  <w:tcW w:w="1322"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18.5</w:t>
                  </w:r>
                </w:p>
              </w:tc>
              <w:tc>
                <w:tcPr>
                  <w:tcW w:w="1178"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3700</w:t>
                  </w:r>
                </w:p>
              </w:tc>
              <w:tc>
                <w:tcPr>
                  <w:tcW w:w="1178" w:type="dxa"/>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p>
              </w:tc>
            </w:tr>
          </w:tbl>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p>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r>
              <w:rPr>
                <w:rFonts w:hint="eastAsia" w:ascii="楷体" w:hAnsi="楷体" w:eastAsia="楷体" w:cs="楷体"/>
                <w:szCs w:val="24"/>
              </w:rPr>
              <w:t>采购产品验证通常采取查验产品外观、合格证的方式。</w:t>
            </w:r>
          </w:p>
          <w:p>
            <w:pPr>
              <w:pStyle w:val="2"/>
              <w:rPr>
                <w:rFonts w:hint="default" w:ascii="楷体" w:hAnsi="楷体" w:eastAsia="楷体" w:cs="楷体"/>
                <w:szCs w:val="24"/>
                <w:lang w:val="en-US" w:eastAsia="zh-CN"/>
              </w:rPr>
            </w:pPr>
          </w:p>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r>
              <w:rPr>
                <w:rFonts w:hint="eastAsia" w:ascii="楷体" w:hAnsi="楷体" w:eastAsia="楷体" w:cs="楷体"/>
                <w:szCs w:val="24"/>
              </w:rPr>
              <w:t>查到20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6</w:t>
            </w:r>
            <w:r>
              <w:rPr>
                <w:rFonts w:hint="eastAsia" w:ascii="楷体" w:hAnsi="楷体" w:eastAsia="楷体" w:cs="楷体"/>
                <w:szCs w:val="24"/>
              </w:rPr>
              <w:t>.2</w:t>
            </w:r>
            <w:r>
              <w:rPr>
                <w:rFonts w:hint="eastAsia" w:ascii="楷体" w:hAnsi="楷体" w:eastAsia="楷体" w:cs="楷体"/>
                <w:szCs w:val="24"/>
                <w:lang w:val="en-US" w:eastAsia="zh-CN"/>
              </w:rPr>
              <w:t>0</w:t>
            </w:r>
            <w:r>
              <w:rPr>
                <w:rFonts w:hint="eastAsia" w:ascii="楷体" w:hAnsi="楷体" w:eastAsia="楷体" w:cs="楷体"/>
                <w:szCs w:val="24"/>
              </w:rPr>
              <w:t>日</w:t>
            </w:r>
            <w:r>
              <w:rPr>
                <w:rFonts w:hint="eastAsia" w:ascii="楷体" w:hAnsi="楷体" w:eastAsia="楷体" w:cs="楷体"/>
                <w:szCs w:val="24"/>
                <w:lang w:val="en-US" w:eastAsia="zh-CN"/>
              </w:rPr>
              <w:t>成都金牛区精工电气的《产品购销合同》</w:t>
            </w:r>
            <w:r>
              <w:rPr>
                <w:rFonts w:hint="eastAsia" w:ascii="楷体" w:hAnsi="楷体" w:eastAsia="楷体" w:cs="楷体"/>
                <w:szCs w:val="24"/>
              </w:rPr>
              <w:t>，</w:t>
            </w:r>
            <w:r>
              <w:rPr>
                <w:rFonts w:hint="eastAsia" w:ascii="楷体" w:hAnsi="楷体" w:eastAsia="楷体" w:cs="楷体"/>
                <w:szCs w:val="24"/>
                <w:lang w:val="en-US" w:eastAsia="zh-CN"/>
              </w:rPr>
              <w:t>产品名称、品牌、型号规格、数量、单位、单价、金额、</w:t>
            </w:r>
            <w:r>
              <w:rPr>
                <w:rFonts w:hint="eastAsia" w:ascii="楷体" w:hAnsi="楷体" w:eastAsia="楷体" w:cs="楷体"/>
                <w:szCs w:val="24"/>
              </w:rPr>
              <w:t>含运输协议，明确了名称、到达地址、数量、价格、理赔等要求。</w:t>
            </w:r>
          </w:p>
          <w:tbl>
            <w:tblPr>
              <w:tblStyle w:val="9"/>
              <w:tblpPr w:leftFromText="180" w:rightFromText="180" w:vertAnchor="text" w:horzAnchor="page" w:tblpX="103" w:tblpY="300"/>
              <w:tblOverlap w:val="never"/>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0"/>
              <w:gridCol w:w="1177"/>
              <w:gridCol w:w="1639"/>
              <w:gridCol w:w="870"/>
              <w:gridCol w:w="880"/>
              <w:gridCol w:w="1322"/>
              <w:gridCol w:w="1178"/>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val="en-US" w:eastAsia="zh-CN"/>
                    </w:rPr>
                  </w:pPr>
                  <w:r>
                    <w:rPr>
                      <w:rFonts w:hint="eastAsia" w:ascii="楷体" w:hAnsi="楷体" w:eastAsia="楷体" w:cs="楷体"/>
                      <w:szCs w:val="24"/>
                      <w:lang w:val="en-US" w:eastAsia="zh-CN"/>
                    </w:rPr>
                    <w:t>序号</w:t>
                  </w:r>
                </w:p>
              </w:tc>
              <w:tc>
                <w:tcPr>
                  <w:tcW w:w="1630"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产品名称</w:t>
                  </w:r>
                </w:p>
              </w:tc>
              <w:tc>
                <w:tcPr>
                  <w:tcW w:w="1177"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val="en-US" w:eastAsia="zh-CN"/>
                    </w:rPr>
                  </w:pPr>
                  <w:r>
                    <w:rPr>
                      <w:rFonts w:hint="eastAsia" w:ascii="楷体" w:hAnsi="楷体" w:eastAsia="楷体" w:cs="楷体"/>
                      <w:szCs w:val="24"/>
                      <w:lang w:val="en-US" w:eastAsia="zh-CN"/>
                    </w:rPr>
                    <w:t>品牌</w:t>
                  </w:r>
                </w:p>
              </w:tc>
              <w:tc>
                <w:tcPr>
                  <w:tcW w:w="1639"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val="en-US" w:eastAsia="zh-CN"/>
                    </w:rPr>
                  </w:pPr>
                  <w:r>
                    <w:rPr>
                      <w:rFonts w:hint="eastAsia" w:ascii="楷体" w:hAnsi="楷体" w:eastAsia="楷体" w:cs="楷体"/>
                      <w:szCs w:val="24"/>
                      <w:lang w:val="en-US" w:eastAsia="zh-CN"/>
                    </w:rPr>
                    <w:t>型号规格</w:t>
                  </w:r>
                </w:p>
              </w:tc>
              <w:tc>
                <w:tcPr>
                  <w:tcW w:w="870"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val="en-US" w:eastAsia="zh-CN"/>
                    </w:rPr>
                  </w:pPr>
                  <w:r>
                    <w:rPr>
                      <w:rFonts w:hint="eastAsia" w:ascii="楷体" w:hAnsi="楷体" w:eastAsia="楷体" w:cs="楷体"/>
                      <w:szCs w:val="24"/>
                      <w:lang w:val="en-US" w:eastAsia="zh-CN"/>
                    </w:rPr>
                    <w:t>数量</w:t>
                  </w:r>
                </w:p>
              </w:tc>
              <w:tc>
                <w:tcPr>
                  <w:tcW w:w="880"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val="en-US" w:eastAsia="zh-CN"/>
                    </w:rPr>
                  </w:pPr>
                  <w:r>
                    <w:rPr>
                      <w:rFonts w:hint="eastAsia" w:ascii="楷体" w:hAnsi="楷体" w:eastAsia="楷体" w:cs="楷体"/>
                      <w:szCs w:val="24"/>
                      <w:lang w:val="en-US" w:eastAsia="zh-CN"/>
                    </w:rPr>
                    <w:t>单位</w:t>
                  </w:r>
                </w:p>
              </w:tc>
              <w:tc>
                <w:tcPr>
                  <w:tcW w:w="1322"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val="en-US" w:eastAsia="zh-CN"/>
                    </w:rPr>
                  </w:pPr>
                  <w:r>
                    <w:rPr>
                      <w:rFonts w:hint="eastAsia" w:ascii="楷体" w:hAnsi="楷体" w:eastAsia="楷体" w:cs="楷体"/>
                      <w:szCs w:val="24"/>
                      <w:lang w:val="en-US" w:eastAsia="zh-CN"/>
                    </w:rPr>
                    <w:t>单价</w:t>
                  </w:r>
                </w:p>
              </w:tc>
              <w:tc>
                <w:tcPr>
                  <w:tcW w:w="1178"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val="en-US" w:eastAsia="zh-CN"/>
                    </w:rPr>
                  </w:pPr>
                  <w:r>
                    <w:rPr>
                      <w:rFonts w:hint="eastAsia" w:ascii="楷体" w:hAnsi="楷体" w:eastAsia="楷体" w:cs="楷体"/>
                      <w:szCs w:val="24"/>
                      <w:lang w:val="en-US" w:eastAsia="zh-CN"/>
                    </w:rPr>
                    <w:t>金额</w:t>
                  </w:r>
                </w:p>
              </w:tc>
              <w:tc>
                <w:tcPr>
                  <w:tcW w:w="1178"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val="en-US" w:eastAsia="zh-CN"/>
                    </w:rPr>
                  </w:pPr>
                  <w:r>
                    <w:rPr>
                      <w:rFonts w:hint="eastAsia" w:ascii="楷体" w:hAnsi="楷体" w:eastAsia="楷体" w:cs="楷体"/>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val="en-US" w:eastAsia="zh-CN"/>
                    </w:rPr>
                  </w:pPr>
                  <w:r>
                    <w:rPr>
                      <w:rFonts w:hint="eastAsia" w:ascii="楷体" w:hAnsi="楷体" w:eastAsia="楷体" w:cs="楷体"/>
                      <w:szCs w:val="24"/>
                      <w:lang w:val="en-US" w:eastAsia="zh-CN"/>
                    </w:rPr>
                    <w:t>1</w:t>
                  </w:r>
                </w:p>
              </w:tc>
              <w:tc>
                <w:tcPr>
                  <w:tcW w:w="1630"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压线钳</w:t>
                  </w:r>
                </w:p>
              </w:tc>
              <w:tc>
                <w:tcPr>
                  <w:tcW w:w="1177"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p>
              </w:tc>
              <w:tc>
                <w:tcPr>
                  <w:tcW w:w="1639" w:type="dxa"/>
                  <w:vAlign w:val="center"/>
                </w:tcPr>
                <w:p>
                  <w:pPr>
                    <w:tabs>
                      <w:tab w:val="left" w:pos="111"/>
                    </w:tabs>
                    <w:autoSpaceDE w:val="0"/>
                    <w:autoSpaceDN w:val="0"/>
                    <w:adjustRightInd w:val="0"/>
                    <w:spacing w:line="360" w:lineRule="auto"/>
                    <w:ind w:left="115" w:leftChars="55" w:right="56" w:rightChars="0" w:firstLine="420" w:firstLineChars="200"/>
                    <w:rPr>
                      <w:rFonts w:hint="default" w:ascii="楷体" w:hAnsi="楷体" w:eastAsia="楷体" w:cs="楷体"/>
                      <w:szCs w:val="24"/>
                      <w:lang w:val="en-US" w:eastAsia="zh-CN"/>
                    </w:rPr>
                  </w:pPr>
                  <w:r>
                    <w:rPr>
                      <w:rFonts w:hint="eastAsia" w:ascii="楷体" w:hAnsi="楷体" w:eastAsia="楷体" w:cs="楷体"/>
                      <w:szCs w:val="24"/>
                      <w:lang w:val="en-US" w:eastAsia="zh-CN"/>
                    </w:rPr>
                    <w:t>960芯</w:t>
                  </w:r>
                </w:p>
              </w:tc>
              <w:tc>
                <w:tcPr>
                  <w:tcW w:w="870" w:type="dxa"/>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lang w:val="en-US" w:eastAsia="zh-CN"/>
                    </w:rPr>
                  </w:pPr>
                  <w:r>
                    <w:rPr>
                      <w:rFonts w:hint="eastAsia" w:ascii="楷体" w:hAnsi="楷体" w:eastAsia="楷体" w:cs="楷体"/>
                      <w:szCs w:val="24"/>
                      <w:lang w:val="en-US" w:eastAsia="zh-CN"/>
                    </w:rPr>
                    <w:t>1</w:t>
                  </w:r>
                </w:p>
              </w:tc>
              <w:tc>
                <w:tcPr>
                  <w:tcW w:w="880"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个</w:t>
                  </w:r>
                </w:p>
              </w:tc>
              <w:tc>
                <w:tcPr>
                  <w:tcW w:w="1322"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6500</w:t>
                  </w:r>
                </w:p>
              </w:tc>
              <w:tc>
                <w:tcPr>
                  <w:tcW w:w="1178"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rPr>
                  </w:pPr>
                  <w:r>
                    <w:rPr>
                      <w:rFonts w:hint="eastAsia" w:ascii="楷体" w:hAnsi="楷体" w:eastAsia="楷体" w:cs="楷体"/>
                      <w:szCs w:val="24"/>
                      <w:lang w:val="en-US" w:eastAsia="zh-CN"/>
                    </w:rPr>
                    <w:t>6500</w:t>
                  </w:r>
                </w:p>
              </w:tc>
              <w:tc>
                <w:tcPr>
                  <w:tcW w:w="1178" w:type="dxa"/>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val="en-US" w:eastAsia="zh-CN"/>
                    </w:rPr>
                  </w:pPr>
                  <w:r>
                    <w:rPr>
                      <w:rFonts w:hint="eastAsia" w:ascii="楷体" w:hAnsi="楷体" w:eastAsia="楷体" w:cs="楷体"/>
                      <w:szCs w:val="24"/>
                      <w:lang w:val="en-US" w:eastAsia="zh-CN"/>
                    </w:rPr>
                    <w:t>2</w:t>
                  </w:r>
                </w:p>
              </w:tc>
              <w:tc>
                <w:tcPr>
                  <w:tcW w:w="1630"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钳形万用表</w:t>
                  </w:r>
                </w:p>
              </w:tc>
              <w:tc>
                <w:tcPr>
                  <w:tcW w:w="1177" w:type="dxa"/>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lang w:val="en-US" w:eastAsia="zh-CN"/>
                    </w:rPr>
                  </w:pPr>
                </w:p>
              </w:tc>
              <w:tc>
                <w:tcPr>
                  <w:tcW w:w="1639"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GYFTY-8D</w:t>
                  </w:r>
                </w:p>
              </w:tc>
              <w:tc>
                <w:tcPr>
                  <w:tcW w:w="870"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5000</w:t>
                  </w:r>
                </w:p>
              </w:tc>
              <w:tc>
                <w:tcPr>
                  <w:tcW w:w="880"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米</w:t>
                  </w:r>
                </w:p>
              </w:tc>
              <w:tc>
                <w:tcPr>
                  <w:tcW w:w="1322" w:type="dxa"/>
                  <w:vAlign w:val="center"/>
                </w:tcPr>
                <w:p>
                  <w:pPr>
                    <w:tabs>
                      <w:tab w:val="left" w:pos="111"/>
                    </w:tabs>
                    <w:autoSpaceDE w:val="0"/>
                    <w:autoSpaceDN w:val="0"/>
                    <w:adjustRightInd w:val="0"/>
                    <w:spacing w:line="360" w:lineRule="auto"/>
                    <w:ind w:left="115" w:leftChars="55" w:right="56" w:rightChars="0" w:firstLine="420" w:firstLineChars="200"/>
                    <w:rPr>
                      <w:rFonts w:hint="default" w:ascii="楷体" w:hAnsi="楷体" w:eastAsia="楷体" w:cs="楷体"/>
                      <w:szCs w:val="24"/>
                      <w:lang w:val="en-US" w:eastAsia="zh-CN"/>
                    </w:rPr>
                  </w:pPr>
                  <w:r>
                    <w:rPr>
                      <w:rFonts w:hint="eastAsia" w:ascii="楷体" w:hAnsi="楷体" w:eastAsia="楷体" w:cs="楷体"/>
                      <w:szCs w:val="24"/>
                      <w:lang w:val="en-US" w:eastAsia="zh-CN"/>
                    </w:rPr>
                    <w:t>1.15</w:t>
                  </w:r>
                </w:p>
              </w:tc>
              <w:tc>
                <w:tcPr>
                  <w:tcW w:w="1178"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5750</w:t>
                  </w:r>
                </w:p>
              </w:tc>
              <w:tc>
                <w:tcPr>
                  <w:tcW w:w="1178" w:type="dxa"/>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val="en-US" w:eastAsia="zh-CN"/>
                    </w:rPr>
                  </w:pPr>
                  <w:r>
                    <w:rPr>
                      <w:rFonts w:hint="eastAsia" w:ascii="楷体" w:hAnsi="楷体" w:eastAsia="楷体" w:cs="楷体"/>
                      <w:szCs w:val="24"/>
                      <w:lang w:val="en-US" w:eastAsia="zh-CN"/>
                    </w:rPr>
                    <w:t>3</w:t>
                  </w:r>
                </w:p>
              </w:tc>
              <w:tc>
                <w:tcPr>
                  <w:tcW w:w="1630"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兆欧表</w:t>
                  </w:r>
                </w:p>
              </w:tc>
              <w:tc>
                <w:tcPr>
                  <w:tcW w:w="1177" w:type="dxa"/>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lang w:val="en-US" w:eastAsia="zh-CN"/>
                    </w:rPr>
                  </w:pPr>
                </w:p>
              </w:tc>
              <w:tc>
                <w:tcPr>
                  <w:tcW w:w="1639"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SC-SC3米</w:t>
                  </w:r>
                </w:p>
              </w:tc>
              <w:tc>
                <w:tcPr>
                  <w:tcW w:w="870"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2000</w:t>
                  </w:r>
                </w:p>
              </w:tc>
              <w:tc>
                <w:tcPr>
                  <w:tcW w:w="880"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米</w:t>
                  </w:r>
                </w:p>
              </w:tc>
              <w:tc>
                <w:tcPr>
                  <w:tcW w:w="1322" w:type="dxa"/>
                  <w:vAlign w:val="center"/>
                </w:tcPr>
                <w:p>
                  <w:pPr>
                    <w:tabs>
                      <w:tab w:val="left" w:pos="111"/>
                    </w:tabs>
                    <w:autoSpaceDE w:val="0"/>
                    <w:autoSpaceDN w:val="0"/>
                    <w:adjustRightInd w:val="0"/>
                    <w:spacing w:line="360" w:lineRule="auto"/>
                    <w:ind w:left="115" w:leftChars="55" w:right="56" w:rightChars="0" w:firstLine="420" w:firstLineChars="200"/>
                    <w:rPr>
                      <w:rFonts w:hint="default" w:ascii="楷体" w:hAnsi="楷体" w:eastAsia="楷体" w:cs="楷体"/>
                      <w:szCs w:val="24"/>
                      <w:lang w:val="en-US" w:eastAsia="zh-CN"/>
                    </w:rPr>
                  </w:pPr>
                  <w:r>
                    <w:rPr>
                      <w:rFonts w:hint="eastAsia" w:ascii="楷体" w:hAnsi="楷体" w:eastAsia="楷体" w:cs="楷体"/>
                      <w:szCs w:val="24"/>
                      <w:lang w:val="en-US" w:eastAsia="zh-CN"/>
                    </w:rPr>
                    <w:t>2.4</w:t>
                  </w:r>
                </w:p>
              </w:tc>
              <w:tc>
                <w:tcPr>
                  <w:tcW w:w="1178"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4800</w:t>
                  </w:r>
                </w:p>
              </w:tc>
              <w:tc>
                <w:tcPr>
                  <w:tcW w:w="1178" w:type="dxa"/>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val="en-US" w:eastAsia="zh-CN"/>
                    </w:rPr>
                  </w:pPr>
                  <w:r>
                    <w:rPr>
                      <w:rFonts w:hint="eastAsia" w:ascii="楷体" w:hAnsi="楷体" w:eastAsia="楷体" w:cs="楷体"/>
                      <w:szCs w:val="24"/>
                      <w:lang w:val="en-US" w:eastAsia="zh-CN"/>
                    </w:rPr>
                    <w:t>4</w:t>
                  </w:r>
                </w:p>
              </w:tc>
              <w:tc>
                <w:tcPr>
                  <w:tcW w:w="1630"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接地电阻测试仪</w:t>
                  </w:r>
                </w:p>
              </w:tc>
              <w:tc>
                <w:tcPr>
                  <w:tcW w:w="1177" w:type="dxa"/>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lang w:val="en-US" w:eastAsia="zh-CN"/>
                    </w:rPr>
                  </w:pPr>
                </w:p>
              </w:tc>
              <w:tc>
                <w:tcPr>
                  <w:tcW w:w="1639"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12芯</w:t>
                  </w:r>
                </w:p>
              </w:tc>
              <w:tc>
                <w:tcPr>
                  <w:tcW w:w="870"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500</w:t>
                  </w:r>
                </w:p>
              </w:tc>
              <w:tc>
                <w:tcPr>
                  <w:tcW w:w="880"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val="en-US" w:eastAsia="zh-CN"/>
                    </w:rPr>
                  </w:pPr>
                  <w:r>
                    <w:rPr>
                      <w:rFonts w:hint="eastAsia" w:ascii="楷体" w:hAnsi="楷体" w:eastAsia="楷体" w:cs="楷体"/>
                      <w:szCs w:val="24"/>
                      <w:lang w:val="en-US" w:eastAsia="zh-CN"/>
                    </w:rPr>
                    <w:t>米</w:t>
                  </w:r>
                </w:p>
              </w:tc>
              <w:tc>
                <w:tcPr>
                  <w:tcW w:w="1322"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21</w:t>
                  </w:r>
                </w:p>
              </w:tc>
              <w:tc>
                <w:tcPr>
                  <w:tcW w:w="1178"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10500</w:t>
                  </w:r>
                </w:p>
              </w:tc>
              <w:tc>
                <w:tcPr>
                  <w:tcW w:w="1178" w:type="dxa"/>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lang w:val="en-US" w:eastAsia="zh-CN"/>
                    </w:rPr>
                  </w:pPr>
                  <w:r>
                    <w:rPr>
                      <w:rFonts w:hint="eastAsia" w:ascii="楷体" w:hAnsi="楷体" w:eastAsia="楷体" w:cs="楷体"/>
                      <w:szCs w:val="24"/>
                      <w:lang w:val="en-US" w:eastAsia="zh-CN"/>
                    </w:rPr>
                    <w:t>5</w:t>
                  </w:r>
                </w:p>
              </w:tc>
              <w:tc>
                <w:tcPr>
                  <w:tcW w:w="1630"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扳手</w:t>
                  </w:r>
                </w:p>
              </w:tc>
              <w:tc>
                <w:tcPr>
                  <w:tcW w:w="1177" w:type="dxa"/>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lang w:val="en-US" w:eastAsia="zh-CN"/>
                    </w:rPr>
                  </w:pPr>
                </w:p>
              </w:tc>
              <w:tc>
                <w:tcPr>
                  <w:tcW w:w="1639"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1：8</w:t>
                  </w:r>
                </w:p>
              </w:tc>
              <w:tc>
                <w:tcPr>
                  <w:tcW w:w="870"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200</w:t>
                  </w:r>
                </w:p>
              </w:tc>
              <w:tc>
                <w:tcPr>
                  <w:tcW w:w="880"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rPr>
                  </w:pPr>
                </w:p>
              </w:tc>
              <w:tc>
                <w:tcPr>
                  <w:tcW w:w="1322"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18.5</w:t>
                  </w:r>
                </w:p>
              </w:tc>
              <w:tc>
                <w:tcPr>
                  <w:tcW w:w="1178"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3700</w:t>
                  </w:r>
                </w:p>
              </w:tc>
              <w:tc>
                <w:tcPr>
                  <w:tcW w:w="1178" w:type="dxa"/>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6</w:t>
                  </w:r>
                </w:p>
              </w:tc>
              <w:tc>
                <w:tcPr>
                  <w:tcW w:w="1630"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电缆网套</w:t>
                  </w:r>
                </w:p>
              </w:tc>
              <w:tc>
                <w:tcPr>
                  <w:tcW w:w="1177" w:type="dxa"/>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lang w:val="en-US" w:eastAsia="zh-CN"/>
                    </w:rPr>
                  </w:pPr>
                </w:p>
              </w:tc>
              <w:tc>
                <w:tcPr>
                  <w:tcW w:w="1639"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50-240</w:t>
                  </w:r>
                </w:p>
              </w:tc>
              <w:tc>
                <w:tcPr>
                  <w:tcW w:w="870"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2个</w:t>
                  </w:r>
                </w:p>
              </w:tc>
              <w:tc>
                <w:tcPr>
                  <w:tcW w:w="880"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rPr>
                  </w:pPr>
                </w:p>
              </w:tc>
              <w:tc>
                <w:tcPr>
                  <w:tcW w:w="1322"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130</w:t>
                  </w:r>
                </w:p>
              </w:tc>
              <w:tc>
                <w:tcPr>
                  <w:tcW w:w="1178"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260</w:t>
                  </w:r>
                </w:p>
              </w:tc>
              <w:tc>
                <w:tcPr>
                  <w:tcW w:w="1178" w:type="dxa"/>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7</w:t>
                  </w:r>
                </w:p>
              </w:tc>
              <w:tc>
                <w:tcPr>
                  <w:tcW w:w="1630"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组合式套筒</w:t>
                  </w:r>
                </w:p>
              </w:tc>
              <w:tc>
                <w:tcPr>
                  <w:tcW w:w="1177" w:type="dxa"/>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lang w:val="en-US" w:eastAsia="zh-CN"/>
                    </w:rPr>
                  </w:pPr>
                </w:p>
              </w:tc>
              <w:tc>
                <w:tcPr>
                  <w:tcW w:w="1639"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32</w:t>
                  </w:r>
                </w:p>
              </w:tc>
              <w:tc>
                <w:tcPr>
                  <w:tcW w:w="870"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1个</w:t>
                  </w:r>
                </w:p>
              </w:tc>
              <w:tc>
                <w:tcPr>
                  <w:tcW w:w="880"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rPr>
                  </w:pPr>
                </w:p>
              </w:tc>
              <w:tc>
                <w:tcPr>
                  <w:tcW w:w="1322"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130</w:t>
                  </w:r>
                </w:p>
              </w:tc>
              <w:tc>
                <w:tcPr>
                  <w:tcW w:w="1178"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130</w:t>
                  </w:r>
                </w:p>
              </w:tc>
              <w:tc>
                <w:tcPr>
                  <w:tcW w:w="1178" w:type="dxa"/>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8</w:t>
                  </w:r>
                </w:p>
              </w:tc>
              <w:tc>
                <w:tcPr>
                  <w:tcW w:w="1630"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活动扳手</w:t>
                  </w:r>
                </w:p>
              </w:tc>
              <w:tc>
                <w:tcPr>
                  <w:tcW w:w="1177" w:type="dxa"/>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lang w:val="en-US" w:eastAsia="zh-CN"/>
                    </w:rPr>
                  </w:pPr>
                </w:p>
              </w:tc>
              <w:tc>
                <w:tcPr>
                  <w:tcW w:w="1639"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300</w:t>
                  </w:r>
                </w:p>
              </w:tc>
              <w:tc>
                <w:tcPr>
                  <w:tcW w:w="870"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15个</w:t>
                  </w:r>
                </w:p>
              </w:tc>
              <w:tc>
                <w:tcPr>
                  <w:tcW w:w="880"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rPr>
                  </w:pPr>
                </w:p>
              </w:tc>
              <w:tc>
                <w:tcPr>
                  <w:tcW w:w="1322"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13</w:t>
                  </w:r>
                </w:p>
              </w:tc>
              <w:tc>
                <w:tcPr>
                  <w:tcW w:w="1178"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195</w:t>
                  </w:r>
                </w:p>
              </w:tc>
              <w:tc>
                <w:tcPr>
                  <w:tcW w:w="1178" w:type="dxa"/>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9</w:t>
                  </w:r>
                </w:p>
              </w:tc>
              <w:tc>
                <w:tcPr>
                  <w:tcW w:w="1630"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液压钳</w:t>
                  </w:r>
                </w:p>
              </w:tc>
              <w:tc>
                <w:tcPr>
                  <w:tcW w:w="1177" w:type="dxa"/>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lang w:val="en-US" w:eastAsia="zh-CN"/>
                    </w:rPr>
                  </w:pPr>
                </w:p>
              </w:tc>
              <w:tc>
                <w:tcPr>
                  <w:tcW w:w="1639"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16-240</w:t>
                  </w:r>
                </w:p>
              </w:tc>
              <w:tc>
                <w:tcPr>
                  <w:tcW w:w="870"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2把</w:t>
                  </w:r>
                </w:p>
              </w:tc>
              <w:tc>
                <w:tcPr>
                  <w:tcW w:w="880" w:type="dxa"/>
                  <w:vAlign w:val="center"/>
                </w:tcPr>
                <w:p>
                  <w:pPr>
                    <w:tabs>
                      <w:tab w:val="left" w:pos="111"/>
                    </w:tabs>
                    <w:autoSpaceDE w:val="0"/>
                    <w:autoSpaceDN w:val="0"/>
                    <w:adjustRightInd w:val="0"/>
                    <w:spacing w:line="360" w:lineRule="auto"/>
                    <w:ind w:right="56" w:rightChars="0"/>
                    <w:rPr>
                      <w:rFonts w:hint="eastAsia" w:ascii="楷体" w:hAnsi="楷体" w:eastAsia="楷体" w:cs="楷体"/>
                      <w:szCs w:val="24"/>
                    </w:rPr>
                  </w:pPr>
                </w:p>
              </w:tc>
              <w:tc>
                <w:tcPr>
                  <w:tcW w:w="1322"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150</w:t>
                  </w:r>
                </w:p>
              </w:tc>
              <w:tc>
                <w:tcPr>
                  <w:tcW w:w="1178"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300</w:t>
                  </w:r>
                </w:p>
              </w:tc>
              <w:tc>
                <w:tcPr>
                  <w:tcW w:w="1178" w:type="dxa"/>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tabs>
                      <w:tab w:val="left" w:pos="111"/>
                    </w:tabs>
                    <w:autoSpaceDE w:val="0"/>
                    <w:autoSpaceDN w:val="0"/>
                    <w:adjustRightInd w:val="0"/>
                    <w:spacing w:line="360" w:lineRule="auto"/>
                    <w:ind w:right="56" w:rightChars="0"/>
                    <w:rPr>
                      <w:rFonts w:hint="default" w:ascii="楷体" w:hAnsi="楷体" w:eastAsia="楷体" w:cs="楷体"/>
                      <w:szCs w:val="24"/>
                      <w:lang w:val="en-US" w:eastAsia="zh-CN"/>
                    </w:rPr>
                  </w:pPr>
                  <w:r>
                    <w:rPr>
                      <w:rFonts w:hint="eastAsia" w:ascii="楷体" w:hAnsi="楷体" w:eastAsia="楷体" w:cs="楷体"/>
                      <w:szCs w:val="24"/>
                      <w:lang w:val="en-US" w:eastAsia="zh-CN"/>
                    </w:rPr>
                    <w:t>合计</w:t>
                  </w:r>
                </w:p>
              </w:tc>
              <w:tc>
                <w:tcPr>
                  <w:tcW w:w="9874" w:type="dxa"/>
                  <w:gridSpan w:val="8"/>
                  <w:vAlign w:val="center"/>
                </w:tcPr>
                <w:p>
                  <w:pPr>
                    <w:tabs>
                      <w:tab w:val="left" w:pos="111"/>
                    </w:tabs>
                    <w:autoSpaceDE w:val="0"/>
                    <w:autoSpaceDN w:val="0"/>
                    <w:adjustRightInd w:val="0"/>
                    <w:spacing w:line="360" w:lineRule="auto"/>
                    <w:ind w:left="115" w:leftChars="55" w:right="56" w:rightChars="0" w:firstLine="420" w:firstLineChars="200"/>
                    <w:rPr>
                      <w:rFonts w:hint="default" w:ascii="楷体" w:hAnsi="楷体" w:eastAsia="楷体" w:cs="楷体"/>
                      <w:szCs w:val="24"/>
                      <w:lang w:val="en-US" w:eastAsia="zh-CN"/>
                    </w:rPr>
                  </w:pPr>
                  <w:r>
                    <w:rPr>
                      <w:rFonts w:hint="eastAsia" w:ascii="楷体" w:hAnsi="楷体" w:eastAsia="楷体" w:cs="楷体"/>
                      <w:szCs w:val="24"/>
                      <w:lang w:val="en-US" w:eastAsia="zh-CN"/>
                    </w:rPr>
                    <w:t>2120.00元</w:t>
                  </w:r>
                </w:p>
              </w:tc>
            </w:tr>
          </w:tbl>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szCs w:val="24"/>
              </w:rPr>
            </w:pPr>
          </w:p>
          <w:p>
            <w:pPr>
              <w:tabs>
                <w:tab w:val="left" w:pos="111"/>
              </w:tabs>
              <w:autoSpaceDE w:val="0"/>
              <w:autoSpaceDN w:val="0"/>
              <w:adjustRightInd w:val="0"/>
              <w:spacing w:line="360" w:lineRule="auto"/>
              <w:ind w:left="115" w:leftChars="55" w:right="56" w:rightChars="0" w:firstLine="420" w:firstLineChars="200"/>
              <w:rPr>
                <w:rFonts w:hint="default" w:ascii="楷体" w:hAnsi="楷体" w:eastAsia="楷体" w:cs="楷体"/>
                <w:szCs w:val="24"/>
                <w:lang w:val="en-US" w:eastAsia="zh-CN"/>
              </w:rPr>
            </w:pPr>
            <w:r>
              <w:rPr>
                <w:rFonts w:hint="eastAsia" w:ascii="楷体" w:hAnsi="楷体" w:eastAsia="楷体" w:cs="楷体"/>
                <w:szCs w:val="24"/>
              </w:rPr>
              <w:t>采购产品验证通常采取查验产品外观、合格证的方式。</w:t>
            </w:r>
            <w:bookmarkStart w:id="0" w:name="_GoBack"/>
            <w:bookmarkEnd w:id="0"/>
          </w:p>
        </w:tc>
        <w:tc>
          <w:tcPr>
            <w:tcW w:w="762" w:type="dxa"/>
          </w:tcPr>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r>
              <w:rPr>
                <w:rFonts w:hint="eastAsia" w:ascii="宋体" w:hAnsi="宋体" w:cs="Arial"/>
                <w:spacing w:val="-6"/>
                <w:szCs w:val="21"/>
                <w:lang w:val="en-US" w:eastAsia="zh-CN"/>
              </w:rPr>
              <w:t xml:space="preserve">  y</w:t>
            </w: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rPr>
                <w:rFonts w:hint="eastAsia" w:ascii="楷体" w:hAnsi="楷体" w:eastAsia="楷体" w:cs="Arial"/>
                <w:szCs w:val="24"/>
              </w:rPr>
            </w:pPr>
            <w:r>
              <w:rPr>
                <w:rFonts w:hint="eastAsia" w:ascii="楷体" w:hAnsi="楷体" w:eastAsia="楷体"/>
                <w:szCs w:val="24"/>
              </w:rPr>
              <w:t>标识和可追溯性</w:t>
            </w:r>
          </w:p>
        </w:tc>
        <w:tc>
          <w:tcPr>
            <w:tcW w:w="960" w:type="dxa"/>
          </w:tcPr>
          <w:p>
            <w:pPr>
              <w:rPr>
                <w:rFonts w:hint="eastAsia" w:ascii="楷体" w:hAnsi="楷体" w:eastAsia="楷体" w:cs="楷体"/>
                <w:szCs w:val="24"/>
              </w:rPr>
            </w:pPr>
            <w:r>
              <w:rPr>
                <w:rFonts w:ascii="楷体" w:hAnsi="楷体" w:eastAsia="楷体"/>
                <w:szCs w:val="24"/>
              </w:rPr>
              <w:t>Q8.5.2</w:t>
            </w:r>
            <w:r>
              <w:rPr>
                <w:rFonts w:hint="eastAsia" w:ascii="楷体" w:hAnsi="楷体" w:eastAsia="楷体" w:cs="宋体"/>
                <w:szCs w:val="24"/>
              </w:rPr>
              <w:t xml:space="preserve"> </w:t>
            </w:r>
          </w:p>
        </w:tc>
        <w:tc>
          <w:tcPr>
            <w:tcW w:w="10827" w:type="dxa"/>
            <w:vAlign w:val="center"/>
          </w:tcPr>
          <w:p>
            <w:pPr>
              <w:spacing w:line="360" w:lineRule="auto"/>
              <w:ind w:firstLine="315" w:firstLineChars="150"/>
              <w:rPr>
                <w:rFonts w:hint="eastAsia" w:ascii="楷体" w:hAnsi="楷体" w:eastAsia="楷体" w:cs="宋体"/>
                <w:szCs w:val="24"/>
              </w:rPr>
            </w:pPr>
            <w:r>
              <w:rPr>
                <w:rFonts w:hint="eastAsia" w:ascii="楷体" w:hAnsi="楷体" w:eastAsia="楷体" w:cs="宋体"/>
                <w:szCs w:val="24"/>
              </w:rPr>
              <w:t>标识:产品通常保留厂家标签、合格证等方式对产品进行标识，产品附有“合格证”有产品名称、型号、日期、质检人员代号等信息。</w:t>
            </w:r>
          </w:p>
          <w:p>
            <w:pPr>
              <w:spacing w:line="360" w:lineRule="auto"/>
              <w:ind w:firstLine="315" w:firstLineChars="150"/>
              <w:rPr>
                <w:rFonts w:hint="eastAsia" w:ascii="楷体" w:hAnsi="楷体" w:eastAsia="楷体" w:cs="宋体"/>
                <w:szCs w:val="24"/>
              </w:rPr>
            </w:pPr>
            <w:r>
              <w:rPr>
                <w:rFonts w:hint="eastAsia" w:ascii="楷体" w:hAnsi="楷体" w:eastAsia="楷体" w:cs="宋体"/>
                <w:szCs w:val="24"/>
              </w:rPr>
              <w:t>产品外包装箱上有产品名称、规格型号、生产单位、数量等，可作为追溯性标识。</w:t>
            </w:r>
          </w:p>
          <w:p>
            <w:pPr>
              <w:spacing w:line="360" w:lineRule="auto"/>
              <w:ind w:firstLine="315" w:firstLineChars="150"/>
              <w:rPr>
                <w:rFonts w:hint="eastAsia" w:ascii="楷体" w:hAnsi="楷体" w:eastAsia="楷体" w:cs="宋体"/>
                <w:szCs w:val="24"/>
              </w:rPr>
            </w:pPr>
            <w:r>
              <w:rPr>
                <w:rFonts w:hint="eastAsia" w:ascii="楷体" w:hAnsi="楷体" w:eastAsia="楷体" w:cs="宋体"/>
                <w:szCs w:val="24"/>
              </w:rPr>
              <w:t xml:space="preserve"> 库管员核对标签无误后再交付。根据采购单、订单编号，检验报告等进行追溯；</w:t>
            </w:r>
          </w:p>
          <w:p>
            <w:pPr>
              <w:pStyle w:val="17"/>
              <w:spacing w:line="360" w:lineRule="auto"/>
              <w:ind w:left="0" w:leftChars="0" w:right="-6" w:rightChars="-3" w:firstLine="0" w:firstLineChars="0"/>
              <w:rPr>
                <w:rFonts w:hint="eastAsia" w:ascii="楷体" w:hAnsi="楷体" w:eastAsia="楷体" w:cs="楷体"/>
                <w:kern w:val="0"/>
                <w:sz w:val="21"/>
                <w:szCs w:val="24"/>
                <w:lang w:val="en-US" w:eastAsia="zh-CN" w:bidi="ar-SA"/>
              </w:rPr>
            </w:pPr>
            <w:r>
              <w:rPr>
                <w:rFonts w:hint="eastAsia" w:ascii="楷体" w:hAnsi="楷体" w:eastAsia="楷体" w:cs="宋体"/>
                <w:szCs w:val="24"/>
              </w:rPr>
              <w:t>经现场查验标识齐全、清晰、正确，产品标识管理基本符合标准要求，并满足实际需要。</w:t>
            </w:r>
          </w:p>
        </w:tc>
        <w:tc>
          <w:tcPr>
            <w:tcW w:w="762" w:type="dxa"/>
          </w:tcPr>
          <w:p>
            <w:pPr>
              <w:pStyle w:val="2"/>
              <w:rPr>
                <w:rFonts w:hint="default" w:ascii="宋体" w:hAnsi="宋体" w:cs="Arial"/>
                <w:spacing w:val="-6"/>
                <w:szCs w:val="21"/>
                <w:lang w:val="en-US" w:eastAsia="zh-CN"/>
              </w:rPr>
            </w:pPr>
          </w:p>
          <w:p>
            <w:pPr>
              <w:pStyle w:val="2"/>
              <w:rPr>
                <w:rFonts w:hint="default" w:ascii="宋体" w:hAnsi="宋体" w:cs="Arial"/>
                <w:spacing w:val="-6"/>
                <w:szCs w:val="21"/>
                <w:lang w:val="en-US" w:eastAsia="zh-CN"/>
              </w:rPr>
            </w:pPr>
          </w:p>
          <w:p>
            <w:pPr>
              <w:pStyle w:val="2"/>
              <w:rPr>
                <w:rFonts w:hint="default" w:ascii="宋体" w:hAnsi="宋体" w:cs="Arial"/>
                <w:spacing w:val="-6"/>
                <w:szCs w:val="21"/>
                <w:lang w:val="en-US" w:eastAsia="zh-CN"/>
              </w:rPr>
            </w:pPr>
          </w:p>
          <w:p>
            <w:pPr>
              <w:pStyle w:val="2"/>
              <w:rPr>
                <w:rFonts w:hint="default" w:ascii="宋体" w:hAnsi="宋体" w:cs="Arial"/>
                <w:spacing w:val="-6"/>
                <w:szCs w:val="21"/>
                <w:lang w:val="en-US" w:eastAsia="zh-CN"/>
              </w:rPr>
            </w:pPr>
            <w:r>
              <w:rPr>
                <w:rFonts w:hint="eastAsia" w:ascii="宋体" w:hAnsi="宋体" w:cs="Arial"/>
                <w:spacing w:val="-6"/>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rPr>
                <w:rFonts w:hint="eastAsia" w:ascii="楷体" w:hAnsi="楷体" w:eastAsia="楷体"/>
                <w:szCs w:val="24"/>
              </w:rPr>
            </w:pPr>
            <w:r>
              <w:rPr>
                <w:rFonts w:hint="eastAsia" w:ascii="楷体" w:hAnsi="楷体" w:eastAsia="楷体" w:cs="Arial"/>
                <w:szCs w:val="24"/>
              </w:rPr>
              <w:t>顾客或外部供方的财产</w:t>
            </w:r>
          </w:p>
        </w:tc>
        <w:tc>
          <w:tcPr>
            <w:tcW w:w="960" w:type="dxa"/>
          </w:tcPr>
          <w:p>
            <w:pPr>
              <w:rPr>
                <w:rFonts w:ascii="楷体" w:hAnsi="楷体" w:eastAsia="楷体"/>
                <w:szCs w:val="24"/>
              </w:rPr>
            </w:pPr>
            <w:r>
              <w:rPr>
                <w:rFonts w:hint="eastAsia" w:ascii="楷体" w:hAnsi="楷体" w:eastAsia="楷体" w:cs="Arial"/>
                <w:szCs w:val="24"/>
              </w:rPr>
              <w:t>Q：8.5.3</w:t>
            </w:r>
          </w:p>
        </w:tc>
        <w:tc>
          <w:tcPr>
            <w:tcW w:w="10827" w:type="dxa"/>
            <w:vAlign w:val="center"/>
          </w:tcPr>
          <w:p>
            <w:pPr>
              <w:spacing w:line="360" w:lineRule="auto"/>
              <w:ind w:firstLine="420" w:firstLineChars="200"/>
              <w:rPr>
                <w:rFonts w:hint="eastAsia" w:ascii="楷体" w:hAnsi="楷体" w:eastAsia="楷体" w:cs="Arial"/>
                <w:szCs w:val="24"/>
              </w:rPr>
            </w:pPr>
            <w:r>
              <w:rPr>
                <w:rFonts w:hint="eastAsia" w:ascii="楷体" w:hAnsi="楷体" w:eastAsia="楷体"/>
                <w:szCs w:val="24"/>
              </w:rPr>
              <w:t>公司</w:t>
            </w:r>
            <w:r>
              <w:rPr>
                <w:rFonts w:hint="eastAsia" w:ascii="楷体" w:hAnsi="楷体" w:eastAsia="楷体" w:cs="Arial"/>
                <w:szCs w:val="24"/>
              </w:rPr>
              <w:t>在管理手册中，规定了对顾客或外部供方财产的管理，明确了对顾客或外部供方财产的登记、验收、保护、使用等相关要求。</w:t>
            </w:r>
          </w:p>
          <w:p>
            <w:pPr>
              <w:spacing w:line="360" w:lineRule="auto"/>
              <w:ind w:firstLine="420" w:firstLineChars="200"/>
              <w:rPr>
                <w:rFonts w:hint="eastAsia" w:ascii="楷体" w:hAnsi="楷体" w:eastAsia="楷体" w:cs="Arial"/>
                <w:szCs w:val="24"/>
              </w:rPr>
            </w:pPr>
            <w:r>
              <w:rPr>
                <w:rFonts w:hint="eastAsia" w:ascii="楷体" w:hAnsi="楷体" w:eastAsia="楷体" w:cs="Arial"/>
                <w:szCs w:val="24"/>
              </w:rPr>
              <w:t>目前公司无外部供方的财产，涉及的顾客财产仅为顾客信息，公司对顾客相关信息做相关保密规定。</w:t>
            </w:r>
          </w:p>
          <w:p>
            <w:pPr>
              <w:pStyle w:val="17"/>
              <w:spacing w:line="360" w:lineRule="auto"/>
              <w:ind w:left="0" w:leftChars="0" w:right="-6" w:rightChars="-3" w:firstLine="0" w:firstLineChars="0"/>
              <w:rPr>
                <w:rFonts w:hint="eastAsia" w:ascii="楷体" w:hAnsi="楷体" w:eastAsia="楷体" w:cs="宋体"/>
                <w:szCs w:val="24"/>
              </w:rPr>
            </w:pPr>
            <w:r>
              <w:rPr>
                <w:rFonts w:hint="eastAsia" w:ascii="楷体" w:hAnsi="楷体" w:eastAsia="楷体" w:cs="Arial"/>
                <w:szCs w:val="24"/>
              </w:rPr>
              <w:t>顾客或外部供方的财产管理符合要求。</w:t>
            </w:r>
          </w:p>
        </w:tc>
        <w:tc>
          <w:tcPr>
            <w:tcW w:w="762" w:type="dxa"/>
          </w:tcPr>
          <w:p>
            <w:pPr>
              <w:pStyle w:val="2"/>
              <w:rPr>
                <w:rFonts w:hint="default" w:ascii="宋体" w:hAnsi="宋体" w:cs="Arial"/>
                <w:spacing w:val="-6"/>
                <w:szCs w:val="21"/>
                <w:lang w:val="en-US" w:eastAsia="zh-CN"/>
              </w:rPr>
            </w:pPr>
          </w:p>
          <w:p>
            <w:pPr>
              <w:pStyle w:val="2"/>
              <w:rPr>
                <w:rFonts w:hint="default" w:ascii="宋体" w:hAnsi="宋体" w:cs="Arial"/>
                <w:spacing w:val="-6"/>
                <w:szCs w:val="21"/>
                <w:lang w:val="en-US" w:eastAsia="zh-CN"/>
              </w:rPr>
            </w:pPr>
          </w:p>
          <w:p>
            <w:pPr>
              <w:pStyle w:val="2"/>
              <w:rPr>
                <w:rFonts w:hint="default" w:ascii="宋体" w:hAnsi="宋体" w:cs="Arial"/>
                <w:spacing w:val="-6"/>
                <w:szCs w:val="21"/>
                <w:lang w:val="en-US" w:eastAsia="zh-CN"/>
              </w:rPr>
            </w:pPr>
            <w:r>
              <w:rPr>
                <w:rFonts w:hint="eastAsia" w:ascii="宋体" w:hAnsi="宋体" w:cs="Arial"/>
                <w:spacing w:val="-6"/>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rPr>
                <w:rFonts w:hint="eastAsia" w:ascii="楷体" w:hAnsi="楷体" w:eastAsia="楷体" w:cs="Arial"/>
                <w:szCs w:val="24"/>
              </w:rPr>
            </w:pPr>
            <w:r>
              <w:rPr>
                <w:rFonts w:hint="eastAsia" w:ascii="楷体" w:hAnsi="楷体" w:eastAsia="楷体"/>
                <w:szCs w:val="24"/>
              </w:rPr>
              <w:t>防护</w:t>
            </w:r>
          </w:p>
        </w:tc>
        <w:tc>
          <w:tcPr>
            <w:tcW w:w="960" w:type="dxa"/>
          </w:tcPr>
          <w:p>
            <w:pPr>
              <w:rPr>
                <w:rFonts w:hint="eastAsia" w:ascii="楷体" w:hAnsi="楷体" w:eastAsia="楷体" w:cs="Arial"/>
                <w:szCs w:val="24"/>
              </w:rPr>
            </w:pPr>
            <w:r>
              <w:rPr>
                <w:rFonts w:hint="eastAsia" w:ascii="楷体" w:hAnsi="楷体" w:eastAsia="楷体" w:cs="Arial"/>
                <w:szCs w:val="24"/>
              </w:rPr>
              <w:t>Q</w:t>
            </w:r>
            <w:r>
              <w:rPr>
                <w:rFonts w:ascii="楷体" w:hAnsi="楷体" w:eastAsia="楷体"/>
                <w:szCs w:val="24"/>
              </w:rPr>
              <w:t>8.5.4</w:t>
            </w:r>
          </w:p>
        </w:tc>
        <w:tc>
          <w:tcPr>
            <w:tcW w:w="10827" w:type="dxa"/>
            <w:vAlign w:val="top"/>
          </w:tcPr>
          <w:p>
            <w:pPr>
              <w:spacing w:line="360" w:lineRule="auto"/>
              <w:ind w:firstLine="315" w:firstLineChars="150"/>
              <w:rPr>
                <w:rFonts w:hint="eastAsia" w:ascii="楷体" w:hAnsi="楷体" w:eastAsia="楷体" w:cs="宋体"/>
                <w:szCs w:val="24"/>
              </w:rPr>
            </w:pPr>
            <w:r>
              <w:rPr>
                <w:rFonts w:hint="eastAsia" w:ascii="楷体" w:hAnsi="楷体" w:eastAsia="楷体" w:cs="宋体"/>
                <w:szCs w:val="24"/>
              </w:rPr>
              <w:t>组织对产品搬运、包装、贮存、运输以及交付等过程的防护实施控制：</w:t>
            </w:r>
          </w:p>
          <w:p>
            <w:pPr>
              <w:spacing w:line="360" w:lineRule="auto"/>
              <w:ind w:firstLine="315" w:firstLineChars="150"/>
              <w:rPr>
                <w:rFonts w:hint="eastAsia" w:ascii="楷体" w:hAnsi="楷体" w:eastAsia="楷体" w:cs="宋体"/>
                <w:szCs w:val="24"/>
              </w:rPr>
            </w:pPr>
            <w:r>
              <w:rPr>
                <w:rFonts w:hint="eastAsia" w:ascii="楷体" w:hAnsi="楷体" w:eastAsia="楷体" w:cs="宋体"/>
                <w:szCs w:val="24"/>
              </w:rPr>
              <w:t>1、搬运：配置适宜的搬运工具，采用合理的搬运方法，对易损、危险物品制定专门的搬运指导书，搬运人员按要求执行，做好产品防护，防止丢失和损坏。</w:t>
            </w:r>
          </w:p>
          <w:p>
            <w:pPr>
              <w:spacing w:line="360" w:lineRule="auto"/>
              <w:ind w:firstLine="315" w:firstLineChars="150"/>
              <w:rPr>
                <w:rFonts w:hint="eastAsia" w:ascii="楷体" w:hAnsi="楷体" w:eastAsia="楷体" w:cs="宋体"/>
                <w:szCs w:val="24"/>
              </w:rPr>
            </w:pPr>
            <w:r>
              <w:rPr>
                <w:rFonts w:hint="eastAsia" w:ascii="楷体" w:hAnsi="楷体" w:eastAsia="楷体" w:cs="宋体"/>
                <w:szCs w:val="24"/>
              </w:rPr>
              <w:t>2、包装：包装人员核对产品合格证，保持产品外观清洁、完整，按装箱单核对装箱产品，包装后进行正确标识。</w:t>
            </w:r>
          </w:p>
          <w:p>
            <w:pPr>
              <w:spacing w:line="360" w:lineRule="auto"/>
              <w:ind w:firstLine="315" w:firstLineChars="150"/>
              <w:rPr>
                <w:rFonts w:hint="eastAsia" w:ascii="楷体" w:hAnsi="楷体" w:eastAsia="楷体" w:cs="宋体"/>
                <w:szCs w:val="24"/>
              </w:rPr>
            </w:pPr>
            <w:r>
              <w:rPr>
                <w:rFonts w:hint="eastAsia" w:ascii="楷体" w:hAnsi="楷体" w:eastAsia="楷体" w:cs="宋体"/>
                <w:szCs w:val="24"/>
              </w:rPr>
              <w:t>3、贮存：</w:t>
            </w:r>
            <w:r>
              <w:rPr>
                <w:rFonts w:hint="eastAsia" w:ascii="楷体" w:hAnsi="楷体" w:eastAsia="楷体" w:cs="宋体"/>
                <w:szCs w:val="24"/>
                <w:lang w:val="en-US" w:eastAsia="zh-CN"/>
              </w:rPr>
              <w:t>经检查，现在公司没有库房，公司先与顾客签订合同，然后按照销售合同再进行采购，采购后直接运到顾客处</w:t>
            </w:r>
            <w:r>
              <w:rPr>
                <w:rFonts w:hint="eastAsia" w:ascii="楷体" w:hAnsi="楷体" w:eastAsia="楷体" w:cs="宋体"/>
                <w:szCs w:val="24"/>
              </w:rPr>
              <w:t>。</w:t>
            </w:r>
          </w:p>
          <w:p>
            <w:pPr>
              <w:spacing w:line="360" w:lineRule="auto"/>
              <w:ind w:firstLine="315" w:firstLineChars="150"/>
              <w:rPr>
                <w:rFonts w:hint="eastAsia" w:ascii="楷体" w:hAnsi="楷体" w:eastAsia="楷体" w:cs="宋体"/>
                <w:szCs w:val="24"/>
              </w:rPr>
            </w:pPr>
            <w:r>
              <w:rPr>
                <w:rFonts w:hint="eastAsia" w:ascii="楷体" w:hAnsi="楷体" w:eastAsia="楷体" w:cs="宋体"/>
                <w:szCs w:val="24"/>
              </w:rPr>
              <w:t>4、运输：用防震材料添紧，避免相互碰撞造成破损，对运输供方进行合格评定，签订运输合同，保证产品运输质量，并对运输质量进行记录，跟踪监督。</w:t>
            </w:r>
          </w:p>
          <w:p>
            <w:pPr>
              <w:spacing w:line="360" w:lineRule="auto"/>
              <w:ind w:firstLine="315" w:firstLineChars="150"/>
              <w:rPr>
                <w:rFonts w:hint="eastAsia" w:ascii="楷体" w:hAnsi="楷体" w:eastAsia="楷体" w:cs="宋体"/>
                <w:szCs w:val="24"/>
              </w:rPr>
            </w:pPr>
            <w:r>
              <w:rPr>
                <w:rFonts w:hint="eastAsia" w:ascii="楷体" w:hAnsi="楷体" w:eastAsia="楷体" w:cs="宋体"/>
                <w:szCs w:val="24"/>
              </w:rPr>
              <w:t>5、交付：产品交付防护延续到交付的目的地。</w:t>
            </w:r>
          </w:p>
          <w:p>
            <w:pPr>
              <w:spacing w:line="360" w:lineRule="auto"/>
              <w:ind w:firstLine="315" w:firstLineChars="150"/>
              <w:rPr>
                <w:rFonts w:hint="eastAsia" w:ascii="楷体" w:hAnsi="楷体" w:eastAsia="楷体" w:cs="宋体"/>
                <w:szCs w:val="24"/>
              </w:rPr>
            </w:pPr>
            <w:r>
              <w:rPr>
                <w:rFonts w:hint="eastAsia" w:ascii="楷体" w:hAnsi="楷体" w:eastAsia="楷体" w:cs="宋体"/>
                <w:szCs w:val="24"/>
              </w:rPr>
              <w:t xml:space="preserve"> 公司自体系运行以来，未发生由于产品防护不当导致产品质量事故的情况，防护措施能够满足要求。</w:t>
            </w:r>
          </w:p>
          <w:p>
            <w:pPr>
              <w:tabs>
                <w:tab w:val="left" w:pos="6597"/>
              </w:tabs>
              <w:spacing w:line="360" w:lineRule="auto"/>
              <w:ind w:firstLine="420" w:firstLineChars="200"/>
              <w:rPr>
                <w:rFonts w:hint="eastAsia" w:ascii="楷体" w:hAnsi="楷体" w:eastAsia="楷体" w:cs="Times New Roman"/>
                <w:kern w:val="2"/>
                <w:sz w:val="21"/>
                <w:szCs w:val="24"/>
                <w:lang w:val="en-US" w:eastAsia="zh-CN" w:bidi="ar-SA"/>
              </w:rPr>
            </w:pPr>
            <w:r>
              <w:rPr>
                <w:rFonts w:hint="eastAsia" w:ascii="楷体" w:hAnsi="楷体" w:eastAsia="楷体"/>
                <w:szCs w:val="24"/>
              </w:rPr>
              <w:t>现场产品防护能够按照策划的要求实施，满足策划的要求。</w:t>
            </w:r>
          </w:p>
        </w:tc>
        <w:tc>
          <w:tcPr>
            <w:tcW w:w="762" w:type="dxa"/>
          </w:tcPr>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default" w:ascii="宋体" w:hAnsi="宋体" w:cs="Arial"/>
                <w:spacing w:val="-6"/>
                <w:szCs w:val="21"/>
                <w:lang w:val="en-US" w:eastAsia="zh-CN"/>
              </w:rPr>
            </w:pPr>
            <w:r>
              <w:rPr>
                <w:rFonts w:hint="eastAsia" w:ascii="宋体" w:hAnsi="宋体" w:cs="Arial"/>
                <w:spacing w:val="-6"/>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rPr>
                <w:rFonts w:hint="eastAsia" w:ascii="楷体" w:hAnsi="楷体" w:eastAsia="楷体" w:cs="楷体"/>
                <w:szCs w:val="24"/>
              </w:rPr>
            </w:pPr>
            <w:r>
              <w:rPr>
                <w:rFonts w:hint="eastAsia" w:ascii="楷体" w:hAnsi="楷体" w:eastAsia="楷体"/>
                <w:szCs w:val="24"/>
              </w:rPr>
              <w:t>更改的控制</w:t>
            </w:r>
          </w:p>
        </w:tc>
        <w:tc>
          <w:tcPr>
            <w:tcW w:w="960" w:type="dxa"/>
          </w:tcPr>
          <w:p>
            <w:pPr>
              <w:rPr>
                <w:rFonts w:hint="eastAsia" w:ascii="楷体" w:hAnsi="楷体" w:eastAsia="楷体"/>
                <w:szCs w:val="24"/>
              </w:rPr>
            </w:pPr>
            <w:r>
              <w:rPr>
                <w:rFonts w:hint="eastAsia" w:ascii="楷体" w:hAnsi="楷体" w:eastAsia="楷体"/>
                <w:szCs w:val="24"/>
              </w:rPr>
              <w:t>Q</w:t>
            </w:r>
            <w:r>
              <w:rPr>
                <w:rFonts w:ascii="楷体" w:hAnsi="楷体" w:eastAsia="楷体"/>
                <w:szCs w:val="24"/>
              </w:rPr>
              <w:t>8.5.6</w:t>
            </w:r>
          </w:p>
        </w:tc>
        <w:tc>
          <w:tcPr>
            <w:tcW w:w="10827" w:type="dxa"/>
            <w:vAlign w:val="top"/>
          </w:tcPr>
          <w:p>
            <w:pPr>
              <w:tabs>
                <w:tab w:val="left" w:pos="6597"/>
              </w:tabs>
              <w:spacing w:line="360" w:lineRule="auto"/>
              <w:ind w:firstLine="420" w:firstLineChars="200"/>
              <w:rPr>
                <w:rFonts w:hint="eastAsia" w:ascii="楷体" w:hAnsi="楷体" w:eastAsia="楷体"/>
                <w:szCs w:val="24"/>
              </w:rPr>
            </w:pPr>
            <w:r>
              <w:rPr>
                <w:rFonts w:hint="eastAsia" w:ascii="楷体" w:hAnsi="楷体" w:eastAsia="楷体"/>
                <w:szCs w:val="24"/>
                <w:lang w:eastAsia="zh-CN"/>
              </w:rPr>
              <w:t>采购部</w:t>
            </w:r>
            <w:r>
              <w:rPr>
                <w:rFonts w:hint="eastAsia" w:ascii="楷体" w:hAnsi="楷体" w:eastAsia="楷体"/>
                <w:szCs w:val="24"/>
              </w:rPr>
              <w:t>负责人介绍目前顾客、供方比较稳定，有关的法律法规没有发生变化，公司的设备、设施、人员、工艺都比较固定，所以销售和服务的提供没有发生过更改，现场也没有发现变更情况，问其有关的要求，比较熟悉。</w:t>
            </w:r>
          </w:p>
        </w:tc>
        <w:tc>
          <w:tcPr>
            <w:tcW w:w="762" w:type="dxa"/>
          </w:tcPr>
          <w:p>
            <w:pPr>
              <w:pStyle w:val="2"/>
              <w:rPr>
                <w:rFonts w:hint="eastAsia" w:ascii="宋体" w:hAnsi="宋体" w:cs="Arial"/>
                <w:spacing w:val="-6"/>
                <w:szCs w:val="21"/>
                <w:lang w:val="en-US" w:eastAsia="zh-CN"/>
              </w:rPr>
            </w:pPr>
          </w:p>
          <w:p>
            <w:pPr>
              <w:pStyle w:val="2"/>
              <w:rPr>
                <w:rFonts w:hint="default" w:ascii="宋体" w:hAnsi="宋体" w:cs="Arial"/>
                <w:spacing w:val="-6"/>
                <w:szCs w:val="21"/>
                <w:lang w:val="en-US" w:eastAsia="zh-CN"/>
              </w:rPr>
            </w:pPr>
            <w:r>
              <w:rPr>
                <w:rFonts w:hint="eastAsia" w:ascii="宋体" w:hAnsi="宋体" w:cs="Arial"/>
                <w:spacing w:val="-6"/>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rPr>
                <w:rFonts w:hint="eastAsia" w:ascii="楷体" w:hAnsi="楷体" w:eastAsia="楷体"/>
                <w:szCs w:val="24"/>
              </w:rPr>
            </w:pPr>
            <w:r>
              <w:rPr>
                <w:rFonts w:hint="eastAsia" w:ascii="楷体" w:hAnsi="楷体" w:eastAsia="楷体"/>
                <w:szCs w:val="24"/>
              </w:rPr>
              <w:t>产品和服务的放行</w:t>
            </w:r>
          </w:p>
        </w:tc>
        <w:tc>
          <w:tcPr>
            <w:tcW w:w="960" w:type="dxa"/>
          </w:tcPr>
          <w:p>
            <w:pPr>
              <w:rPr>
                <w:rFonts w:hint="eastAsia" w:ascii="楷体" w:hAnsi="楷体" w:eastAsia="楷体"/>
                <w:szCs w:val="24"/>
              </w:rPr>
            </w:pPr>
            <w:r>
              <w:rPr>
                <w:rFonts w:hint="eastAsia" w:ascii="楷体" w:hAnsi="楷体" w:eastAsia="楷体"/>
                <w:szCs w:val="24"/>
              </w:rPr>
              <w:t>Q</w:t>
            </w:r>
            <w:r>
              <w:rPr>
                <w:rFonts w:ascii="楷体" w:hAnsi="楷体" w:eastAsia="楷体"/>
                <w:szCs w:val="24"/>
              </w:rPr>
              <w:t>8.6</w:t>
            </w:r>
          </w:p>
        </w:tc>
        <w:tc>
          <w:tcPr>
            <w:tcW w:w="10827" w:type="dxa"/>
            <w:vAlign w:val="top"/>
          </w:tcPr>
          <w:p>
            <w:pPr>
              <w:spacing w:line="360" w:lineRule="auto"/>
              <w:ind w:right="-6" w:rightChars="-3"/>
              <w:rPr>
                <w:rFonts w:ascii="楷体" w:hAnsi="楷体" w:eastAsia="楷体"/>
                <w:szCs w:val="24"/>
              </w:rPr>
            </w:pPr>
            <w:r>
              <w:rPr>
                <w:rFonts w:hint="eastAsia" w:ascii="楷体" w:hAnsi="楷体" w:eastAsia="楷体"/>
                <w:szCs w:val="24"/>
              </w:rPr>
              <w:t>（1）组织确定了产品所要求的检验方法，按行业相关标准、客户要求实施产品验证，并制定了相应的检验规范。</w:t>
            </w:r>
          </w:p>
          <w:p>
            <w:pPr>
              <w:spacing w:line="360" w:lineRule="auto"/>
              <w:ind w:right="-6" w:rightChars="-3"/>
              <w:rPr>
                <w:rFonts w:hint="default" w:ascii="楷体" w:hAnsi="楷体" w:eastAsia="楷体"/>
                <w:szCs w:val="24"/>
                <w:lang w:val="en-US" w:eastAsia="zh-CN"/>
              </w:rPr>
            </w:pPr>
            <w:r>
              <w:rPr>
                <w:rFonts w:hint="eastAsia" w:ascii="楷体" w:hAnsi="楷体" w:eastAsia="楷体"/>
                <w:szCs w:val="24"/>
              </w:rPr>
              <w:t>（2）产品检验：检验依据《采购物资检验规范》。</w:t>
            </w:r>
            <w:r>
              <w:rPr>
                <w:rFonts w:hint="eastAsia" w:ascii="楷体" w:hAnsi="楷体" w:eastAsia="楷体"/>
                <w:szCs w:val="24"/>
                <w:lang w:val="en-US" w:eastAsia="zh-CN"/>
              </w:rPr>
              <w:t>要求供方附带产品合格证和检验报告。</w:t>
            </w:r>
          </w:p>
          <w:p>
            <w:pPr>
              <w:spacing w:line="360" w:lineRule="auto"/>
              <w:ind w:right="-6" w:rightChars="-3"/>
              <w:rPr>
                <w:rFonts w:hint="eastAsia" w:ascii="楷体" w:hAnsi="楷体" w:eastAsia="楷体"/>
                <w:szCs w:val="24"/>
              </w:rPr>
            </w:pPr>
            <w:r>
              <w:rPr>
                <w:rFonts w:hint="eastAsia" w:ascii="楷体" w:hAnsi="楷体" w:eastAsia="楷体"/>
                <w:szCs w:val="24"/>
              </w:rPr>
              <w:t>（3）该公司制订了《售后服务规定》、《营销服务质量的控制规范》、《营销服务提供规范》、《售后服务人员服务规范》等对商品销售及销售服务过程进行了质量控制的规定。</w:t>
            </w:r>
          </w:p>
          <w:p>
            <w:pPr>
              <w:spacing w:line="360" w:lineRule="auto"/>
              <w:ind w:right="-6" w:rightChars="-3" w:firstLine="420" w:firstLineChars="200"/>
              <w:rPr>
                <w:rFonts w:hint="eastAsia" w:ascii="楷体" w:hAnsi="楷体" w:eastAsia="楷体"/>
                <w:szCs w:val="24"/>
              </w:rPr>
            </w:pPr>
            <w:r>
              <w:rPr>
                <w:rFonts w:hint="eastAsia" w:ascii="楷体" w:hAnsi="楷体" w:eastAsia="楷体"/>
                <w:szCs w:val="24"/>
              </w:rPr>
              <w:t>提供了《售后服务记录表》，对客户的反馈等进行了记录。</w:t>
            </w:r>
          </w:p>
          <w:p>
            <w:pPr>
              <w:spacing w:line="360" w:lineRule="auto"/>
              <w:ind w:right="-6" w:rightChars="-3" w:firstLine="420" w:firstLineChars="200"/>
              <w:rPr>
                <w:rFonts w:hint="eastAsia" w:ascii="楷体" w:hAnsi="楷体" w:eastAsia="楷体"/>
                <w:szCs w:val="24"/>
              </w:rPr>
            </w:pPr>
            <w:r>
              <w:rPr>
                <w:rFonts w:hint="eastAsia" w:ascii="楷体" w:hAnsi="楷体" w:eastAsia="楷体"/>
                <w:szCs w:val="24"/>
              </w:rPr>
              <w:t>提供了《营销人员工作监督表》，对营销人员的工作进行了监督检查。</w:t>
            </w:r>
          </w:p>
          <w:p>
            <w:pPr>
              <w:spacing w:line="360" w:lineRule="auto"/>
              <w:ind w:right="-6" w:rightChars="-3" w:firstLine="420" w:firstLineChars="200"/>
              <w:rPr>
                <w:rFonts w:hint="eastAsia" w:ascii="楷体" w:hAnsi="楷体" w:eastAsia="楷体"/>
                <w:szCs w:val="24"/>
              </w:rPr>
            </w:pPr>
            <w:r>
              <w:rPr>
                <w:rFonts w:hint="eastAsia" w:ascii="楷体" w:hAnsi="楷体" w:eastAsia="楷体"/>
                <w:szCs w:val="24"/>
              </w:rPr>
              <w:t>查见20</w:t>
            </w:r>
            <w:r>
              <w:rPr>
                <w:rFonts w:hint="eastAsia" w:ascii="楷体" w:hAnsi="楷体" w:eastAsia="楷体"/>
                <w:szCs w:val="24"/>
                <w:lang w:val="en-US" w:eastAsia="zh-CN"/>
              </w:rPr>
              <w:t>21</w:t>
            </w:r>
            <w:r>
              <w:rPr>
                <w:rFonts w:hint="eastAsia" w:ascii="楷体" w:hAnsi="楷体" w:eastAsia="楷体"/>
                <w:szCs w:val="24"/>
              </w:rPr>
              <w:t>年</w:t>
            </w:r>
            <w:r>
              <w:rPr>
                <w:rFonts w:hint="eastAsia" w:ascii="楷体" w:hAnsi="楷体" w:eastAsia="楷体"/>
                <w:szCs w:val="24"/>
                <w:lang w:val="en-US" w:eastAsia="zh-CN"/>
              </w:rPr>
              <w:t>6</w:t>
            </w:r>
            <w:r>
              <w:rPr>
                <w:rFonts w:hint="eastAsia" w:ascii="楷体" w:hAnsi="楷体" w:eastAsia="楷体"/>
                <w:szCs w:val="24"/>
              </w:rPr>
              <w:t>月24日的《</w:t>
            </w:r>
            <w:r>
              <w:rPr>
                <w:rFonts w:hint="eastAsia" w:ascii="楷体" w:hAnsi="楷体" w:eastAsia="楷体"/>
                <w:szCs w:val="24"/>
                <w:lang w:val="en-US" w:eastAsia="zh-CN"/>
              </w:rPr>
              <w:t>采购</w:t>
            </w:r>
            <w:r>
              <w:rPr>
                <w:rFonts w:hint="eastAsia" w:ascii="楷体" w:hAnsi="楷体" w:eastAsia="楷体"/>
                <w:szCs w:val="24"/>
              </w:rPr>
              <w:t>人员工作监督表》，业务人员：</w:t>
            </w:r>
            <w:r>
              <w:rPr>
                <w:rFonts w:hint="eastAsia" w:ascii="楷体" w:hAnsi="楷体" w:eastAsia="楷体"/>
                <w:szCs w:val="24"/>
                <w:lang w:val="en-US" w:eastAsia="zh-CN"/>
              </w:rPr>
              <w:t>李玉平</w:t>
            </w:r>
            <w:r>
              <w:rPr>
                <w:rFonts w:hint="eastAsia" w:ascii="楷体" w:hAnsi="楷体" w:eastAsia="楷体"/>
                <w:szCs w:val="24"/>
              </w:rPr>
              <w:t>，综合评价：96分，检查人：</w:t>
            </w:r>
            <w:r>
              <w:rPr>
                <w:rFonts w:hint="eastAsia" w:ascii="楷体" w:hAnsi="楷体" w:eastAsia="楷体"/>
                <w:szCs w:val="24"/>
                <w:lang w:val="en-US" w:eastAsia="zh-CN"/>
              </w:rPr>
              <w:t>王飞燕</w:t>
            </w:r>
            <w:r>
              <w:rPr>
                <w:rFonts w:hint="eastAsia" w:ascii="楷体" w:hAnsi="楷体" w:eastAsia="楷体"/>
                <w:szCs w:val="24"/>
              </w:rPr>
              <w:t>。</w:t>
            </w:r>
          </w:p>
          <w:p>
            <w:pPr>
              <w:pStyle w:val="17"/>
              <w:spacing w:line="360" w:lineRule="auto"/>
              <w:ind w:left="0" w:firstLine="482"/>
              <w:rPr>
                <w:rFonts w:hint="eastAsia" w:ascii="楷体" w:hAnsi="楷体" w:eastAsia="楷体"/>
                <w:szCs w:val="24"/>
              </w:rPr>
            </w:pPr>
            <w:r>
              <w:rPr>
                <w:rFonts w:hint="eastAsia" w:ascii="楷体" w:hAnsi="楷体" w:eastAsia="楷体"/>
                <w:szCs w:val="24"/>
              </w:rPr>
              <w:t>（4）产品发货前开具发货单，装车人员核对产品名称、规格、数量、外观质量状况，无误后把装车。</w:t>
            </w:r>
          </w:p>
          <w:p>
            <w:pPr>
              <w:spacing w:line="360" w:lineRule="auto"/>
              <w:ind w:right="-6" w:rightChars="-3" w:firstLine="420" w:firstLineChars="200"/>
              <w:rPr>
                <w:rFonts w:hint="eastAsia" w:ascii="楷体" w:hAnsi="楷体" w:eastAsia="楷体"/>
                <w:szCs w:val="24"/>
              </w:rPr>
            </w:pPr>
            <w:r>
              <w:rPr>
                <w:rFonts w:hint="eastAsia" w:ascii="楷体" w:hAnsi="楷体" w:eastAsia="楷体"/>
                <w:szCs w:val="24"/>
              </w:rPr>
              <w:t>（</w:t>
            </w:r>
            <w:r>
              <w:rPr>
                <w:rFonts w:hint="eastAsia" w:ascii="楷体" w:hAnsi="楷体" w:eastAsia="楷体"/>
                <w:szCs w:val="24"/>
                <w:lang w:val="en-US" w:eastAsia="zh-CN"/>
              </w:rPr>
              <w:t>5</w:t>
            </w:r>
            <w:r>
              <w:rPr>
                <w:rFonts w:hint="eastAsia" w:ascii="楷体" w:hAnsi="楷体" w:eastAsia="楷体"/>
                <w:szCs w:val="24"/>
              </w:rPr>
              <w:t>）现场查到了供方提供的产品检验报告和合格证，随货发送给客户。</w:t>
            </w:r>
          </w:p>
          <w:p>
            <w:pPr>
              <w:pStyle w:val="17"/>
              <w:spacing w:line="360" w:lineRule="auto"/>
              <w:ind w:left="0" w:leftChars="0" w:right="284" w:rightChars="0" w:firstLine="482" w:firstLineChars="0"/>
              <w:rPr>
                <w:rFonts w:hint="eastAsia" w:ascii="楷体" w:hAnsi="楷体" w:eastAsia="楷体" w:cs="楷体"/>
                <w:kern w:val="2"/>
                <w:sz w:val="21"/>
                <w:szCs w:val="24"/>
                <w:lang w:val="en-US" w:eastAsia="zh-CN" w:bidi="ar-SA"/>
              </w:rPr>
            </w:pPr>
            <w:r>
              <w:rPr>
                <w:rFonts w:hint="eastAsia" w:ascii="楷体" w:hAnsi="楷体" w:eastAsia="楷体"/>
                <w:szCs w:val="24"/>
              </w:rPr>
              <w:t>公司产品监视和测量控制基本有效。</w:t>
            </w:r>
          </w:p>
        </w:tc>
        <w:tc>
          <w:tcPr>
            <w:tcW w:w="762" w:type="dxa"/>
          </w:tcPr>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default" w:ascii="宋体" w:hAnsi="宋体" w:cs="Arial"/>
                <w:spacing w:val="-6"/>
                <w:szCs w:val="21"/>
                <w:lang w:val="en-US" w:eastAsia="zh-CN"/>
              </w:rPr>
            </w:pPr>
            <w:r>
              <w:rPr>
                <w:rFonts w:hint="eastAsia" w:ascii="宋体" w:hAnsi="宋体" w:cs="Arial"/>
                <w:spacing w:val="-6"/>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rPr>
                <w:rFonts w:hint="eastAsia" w:ascii="楷体" w:hAnsi="楷体" w:eastAsia="楷体"/>
                <w:szCs w:val="24"/>
              </w:rPr>
            </w:pPr>
            <w:r>
              <w:rPr>
                <w:rFonts w:hint="eastAsia" w:ascii="楷体" w:hAnsi="楷体" w:eastAsia="楷体"/>
                <w:szCs w:val="24"/>
              </w:rPr>
              <w:t>不合格输出的控制</w:t>
            </w:r>
          </w:p>
        </w:tc>
        <w:tc>
          <w:tcPr>
            <w:tcW w:w="960" w:type="dxa"/>
          </w:tcPr>
          <w:p>
            <w:pPr>
              <w:rPr>
                <w:rFonts w:hint="eastAsia" w:ascii="楷体" w:hAnsi="楷体" w:eastAsia="楷体"/>
                <w:szCs w:val="24"/>
                <w:lang w:val="en-US" w:eastAsia="zh-CN"/>
              </w:rPr>
            </w:pPr>
            <w:r>
              <w:rPr>
                <w:rFonts w:hint="eastAsia" w:ascii="楷体" w:hAnsi="楷体" w:eastAsia="楷体"/>
                <w:szCs w:val="24"/>
              </w:rPr>
              <w:t>Q</w:t>
            </w:r>
            <w:r>
              <w:rPr>
                <w:rFonts w:ascii="楷体" w:hAnsi="楷体" w:eastAsia="楷体"/>
                <w:szCs w:val="24"/>
              </w:rPr>
              <w:t>8.</w:t>
            </w:r>
            <w:r>
              <w:rPr>
                <w:rFonts w:hint="eastAsia" w:ascii="楷体" w:hAnsi="楷体" w:eastAsia="楷体"/>
                <w:szCs w:val="24"/>
                <w:lang w:val="en-US" w:eastAsia="zh-CN"/>
              </w:rPr>
              <w:t>7</w:t>
            </w:r>
          </w:p>
        </w:tc>
        <w:tc>
          <w:tcPr>
            <w:tcW w:w="10827" w:type="dxa"/>
            <w:vAlign w:val="center"/>
          </w:tcPr>
          <w:p>
            <w:pPr>
              <w:snapToGrid w:val="0"/>
              <w:spacing w:line="360" w:lineRule="auto"/>
              <w:ind w:firstLine="480"/>
              <w:rPr>
                <w:rFonts w:hint="eastAsia" w:ascii="楷体" w:hAnsi="楷体" w:eastAsia="楷体" w:cs="楷体"/>
                <w:szCs w:val="24"/>
              </w:rPr>
            </w:pPr>
            <w:r>
              <w:rPr>
                <w:rFonts w:hint="eastAsia" w:ascii="楷体" w:hAnsi="楷体" w:eastAsia="楷体" w:cs="楷体"/>
                <w:szCs w:val="24"/>
              </w:rPr>
              <w:t>公司制定并执行了《不合格品控制程序》，文件对不合格品的识别、控制方法和职责权限作出了规定，基本符合标准要求。</w:t>
            </w:r>
          </w:p>
          <w:p>
            <w:pPr>
              <w:snapToGrid w:val="0"/>
              <w:spacing w:line="360" w:lineRule="auto"/>
              <w:ind w:firstLine="480"/>
              <w:rPr>
                <w:rFonts w:hint="eastAsia" w:ascii="楷体" w:hAnsi="楷体" w:eastAsia="楷体" w:cs="楷体"/>
                <w:szCs w:val="24"/>
              </w:rPr>
            </w:pPr>
            <w:r>
              <w:rPr>
                <w:rFonts w:hint="eastAsia" w:ascii="楷体" w:hAnsi="楷体" w:eastAsia="楷体" w:cs="楷体"/>
                <w:szCs w:val="24"/>
                <w:lang w:val="en-US" w:eastAsia="zh-CN"/>
              </w:rPr>
              <w:t>现在企业是先签订销售合同，然后从供方采购后直接运送到客户，要求供方随带着合格证和保证书</w:t>
            </w:r>
            <w:r>
              <w:rPr>
                <w:rFonts w:hint="eastAsia" w:ascii="楷体" w:hAnsi="楷体" w:eastAsia="楷体" w:cs="楷体"/>
                <w:szCs w:val="24"/>
              </w:rPr>
              <w:t>。</w:t>
            </w:r>
          </w:p>
          <w:p>
            <w:pPr>
              <w:snapToGrid w:val="0"/>
              <w:spacing w:line="360" w:lineRule="auto"/>
              <w:ind w:firstLine="480"/>
              <w:rPr>
                <w:rFonts w:hint="eastAsia" w:ascii="楷体" w:hAnsi="楷体" w:eastAsia="楷体" w:cs="楷体"/>
                <w:szCs w:val="24"/>
                <w:lang w:val="en-US" w:eastAsia="zh-CN"/>
              </w:rPr>
            </w:pPr>
            <w:r>
              <w:rPr>
                <w:rFonts w:hint="eastAsia" w:ascii="楷体" w:hAnsi="楷体" w:eastAsia="楷体" w:cs="楷体"/>
                <w:szCs w:val="24"/>
                <w:lang w:val="en-US" w:eastAsia="zh-CN"/>
              </w:rPr>
              <w:t xml:space="preserve">   提供《检验报告》报告编号F16X76906层绞式通讯用室外光缆、型号GYTA-48B1.3 检验报告；</w:t>
            </w:r>
          </w:p>
          <w:p>
            <w:pPr>
              <w:snapToGrid w:val="0"/>
              <w:spacing w:line="360" w:lineRule="auto"/>
              <w:ind w:firstLine="480"/>
              <w:rPr>
                <w:rFonts w:hint="default" w:ascii="楷体" w:hAnsi="楷体" w:eastAsia="楷体" w:cs="楷体"/>
                <w:szCs w:val="24"/>
                <w:lang w:val="en-US" w:eastAsia="zh-CN"/>
              </w:rPr>
            </w:pPr>
            <w:r>
              <w:rPr>
                <w:rFonts w:hint="eastAsia" w:ascii="楷体" w:hAnsi="楷体" w:eastAsia="楷体" w:cs="楷体"/>
                <w:szCs w:val="24"/>
                <w:lang w:val="en-US" w:eastAsia="zh-CN"/>
              </w:rPr>
              <w:t xml:space="preserve">   申请单位：江苏亨通广电股份有限公司</w:t>
            </w:r>
          </w:p>
          <w:p>
            <w:pPr>
              <w:snapToGrid w:val="0"/>
              <w:spacing w:line="360" w:lineRule="auto"/>
              <w:ind w:firstLine="480"/>
              <w:rPr>
                <w:rFonts w:hint="eastAsia" w:ascii="楷体" w:hAnsi="楷体" w:eastAsia="楷体" w:cs="楷体"/>
                <w:szCs w:val="24"/>
                <w:lang w:val="en-US" w:eastAsia="zh-CN"/>
              </w:rPr>
            </w:pPr>
            <w:r>
              <w:rPr>
                <w:rFonts w:hint="eastAsia" w:ascii="楷体" w:hAnsi="楷体" w:eastAsia="楷体" w:cs="楷体"/>
                <w:szCs w:val="24"/>
                <w:lang w:val="en-US" w:eastAsia="zh-CN"/>
              </w:rPr>
              <w:t>产品名称：层绞式通讯用室外光缆</w:t>
            </w:r>
          </w:p>
          <w:p>
            <w:pPr>
              <w:snapToGrid w:val="0"/>
              <w:spacing w:line="360" w:lineRule="auto"/>
              <w:ind w:firstLine="480"/>
              <w:rPr>
                <w:rFonts w:hint="eastAsia" w:ascii="楷体" w:hAnsi="楷体" w:eastAsia="楷体" w:cs="楷体"/>
                <w:szCs w:val="24"/>
                <w:lang w:val="en-US" w:eastAsia="zh-CN"/>
              </w:rPr>
            </w:pPr>
            <w:r>
              <w:rPr>
                <w:rFonts w:hint="eastAsia" w:ascii="楷体" w:hAnsi="楷体" w:eastAsia="楷体" w:cs="楷体"/>
                <w:szCs w:val="24"/>
                <w:lang w:val="en-US" w:eastAsia="zh-CN"/>
              </w:rPr>
              <w:t>型号规格：GYTA-48B1.3</w:t>
            </w:r>
          </w:p>
          <w:p>
            <w:pPr>
              <w:snapToGrid w:val="0"/>
              <w:spacing w:line="360" w:lineRule="auto"/>
              <w:ind w:firstLine="480"/>
              <w:rPr>
                <w:rFonts w:hint="eastAsia" w:ascii="楷体" w:hAnsi="楷体" w:eastAsia="楷体" w:cs="楷体"/>
                <w:szCs w:val="24"/>
                <w:lang w:val="en-US" w:eastAsia="zh-CN"/>
              </w:rPr>
            </w:pPr>
            <w:r>
              <w:rPr>
                <w:rFonts w:hint="eastAsia" w:ascii="楷体" w:hAnsi="楷体" w:eastAsia="楷体" w:cs="楷体"/>
                <w:szCs w:val="24"/>
                <w:lang w:val="en-US" w:eastAsia="zh-CN"/>
              </w:rPr>
              <w:t>委托单位：江苏亨通广电股份有限公司</w:t>
            </w:r>
          </w:p>
          <w:p>
            <w:pPr>
              <w:snapToGrid w:val="0"/>
              <w:spacing w:line="360" w:lineRule="auto"/>
              <w:ind w:firstLine="480"/>
              <w:rPr>
                <w:rFonts w:hint="eastAsia" w:ascii="楷体" w:hAnsi="楷体" w:eastAsia="楷体" w:cs="楷体"/>
                <w:szCs w:val="24"/>
                <w:lang w:val="en-US" w:eastAsia="zh-CN"/>
              </w:rPr>
            </w:pPr>
            <w:r>
              <w:rPr>
                <w:rFonts w:hint="eastAsia" w:ascii="楷体" w:hAnsi="楷体" w:eastAsia="楷体" w:cs="楷体"/>
                <w:szCs w:val="24"/>
                <w:lang w:val="en-US" w:eastAsia="zh-CN"/>
              </w:rPr>
              <w:t>检验类别：委托检验</w:t>
            </w:r>
          </w:p>
          <w:p>
            <w:pPr>
              <w:snapToGrid w:val="0"/>
              <w:spacing w:line="360" w:lineRule="auto"/>
              <w:ind w:firstLine="480"/>
              <w:rPr>
                <w:rFonts w:hint="eastAsia" w:ascii="楷体" w:hAnsi="楷体" w:eastAsia="楷体" w:cs="楷体"/>
                <w:szCs w:val="24"/>
                <w:lang w:val="en-US" w:eastAsia="zh-CN"/>
              </w:rPr>
            </w:pPr>
            <w:r>
              <w:rPr>
                <w:rFonts w:hint="eastAsia" w:ascii="楷体" w:hAnsi="楷体" w:eastAsia="楷体" w:cs="楷体"/>
                <w:szCs w:val="24"/>
                <w:lang w:val="en-US" w:eastAsia="zh-CN"/>
              </w:rPr>
              <w:t>（具体内容见收集资料单）</w:t>
            </w:r>
          </w:p>
          <w:p>
            <w:pPr>
              <w:snapToGrid w:val="0"/>
              <w:spacing w:line="360" w:lineRule="auto"/>
              <w:ind w:firstLine="480"/>
              <w:rPr>
                <w:rFonts w:hint="eastAsia" w:ascii="楷体" w:hAnsi="楷体" w:eastAsia="楷体" w:cs="楷体"/>
                <w:szCs w:val="24"/>
                <w:lang w:val="en-US" w:eastAsia="zh-CN"/>
              </w:rPr>
            </w:pPr>
          </w:p>
          <w:p>
            <w:pPr>
              <w:snapToGrid w:val="0"/>
              <w:spacing w:line="360" w:lineRule="auto"/>
              <w:ind w:firstLine="480"/>
              <w:rPr>
                <w:rFonts w:hint="eastAsia" w:ascii="楷体" w:hAnsi="楷体" w:eastAsia="楷体" w:cs="楷体"/>
                <w:szCs w:val="24"/>
                <w:lang w:val="en-US" w:eastAsia="zh-CN"/>
              </w:rPr>
            </w:pPr>
            <w:r>
              <w:rPr>
                <w:rFonts w:hint="eastAsia" w:ascii="楷体" w:hAnsi="楷体" w:eastAsia="楷体" w:cs="楷体"/>
                <w:szCs w:val="24"/>
                <w:lang w:val="en-US" w:eastAsia="zh-CN"/>
              </w:rPr>
              <w:t>提供报告编号07-20-0791光纤活动连接器、型号SC/UPC 检验报告；</w:t>
            </w:r>
          </w:p>
          <w:p>
            <w:pPr>
              <w:snapToGrid w:val="0"/>
              <w:spacing w:line="360" w:lineRule="auto"/>
              <w:ind w:firstLine="480"/>
              <w:rPr>
                <w:rFonts w:hint="default" w:ascii="楷体" w:hAnsi="楷体" w:eastAsia="楷体" w:cs="楷体"/>
                <w:szCs w:val="24"/>
                <w:lang w:val="en-US" w:eastAsia="zh-CN"/>
              </w:rPr>
            </w:pPr>
            <w:r>
              <w:rPr>
                <w:rFonts w:hint="eastAsia" w:ascii="楷体" w:hAnsi="楷体" w:eastAsia="楷体" w:cs="楷体"/>
                <w:szCs w:val="24"/>
                <w:lang w:val="en-US" w:eastAsia="zh-CN"/>
              </w:rPr>
              <w:t xml:space="preserve">   申请单位：江苏亨通广电股份有限公司</w:t>
            </w:r>
          </w:p>
          <w:p>
            <w:pPr>
              <w:snapToGrid w:val="0"/>
              <w:spacing w:line="360" w:lineRule="auto"/>
              <w:ind w:firstLine="480"/>
              <w:rPr>
                <w:rFonts w:hint="eastAsia" w:ascii="楷体" w:hAnsi="楷体" w:eastAsia="楷体" w:cs="楷体"/>
                <w:szCs w:val="24"/>
                <w:lang w:val="en-US" w:eastAsia="zh-CN"/>
              </w:rPr>
            </w:pPr>
            <w:r>
              <w:rPr>
                <w:rFonts w:hint="eastAsia" w:ascii="楷体" w:hAnsi="楷体" w:eastAsia="楷体" w:cs="楷体"/>
                <w:szCs w:val="24"/>
                <w:lang w:val="en-US" w:eastAsia="zh-CN"/>
              </w:rPr>
              <w:t>产品名称：光纤活动连接器</w:t>
            </w:r>
          </w:p>
          <w:p>
            <w:pPr>
              <w:snapToGrid w:val="0"/>
              <w:spacing w:line="360" w:lineRule="auto"/>
              <w:ind w:firstLine="480"/>
              <w:rPr>
                <w:rFonts w:hint="eastAsia" w:ascii="楷体" w:hAnsi="楷体" w:eastAsia="楷体" w:cs="楷体"/>
                <w:szCs w:val="24"/>
                <w:lang w:val="en-US" w:eastAsia="zh-CN"/>
              </w:rPr>
            </w:pPr>
            <w:r>
              <w:rPr>
                <w:rFonts w:hint="eastAsia" w:ascii="楷体" w:hAnsi="楷体" w:eastAsia="楷体" w:cs="楷体"/>
                <w:szCs w:val="24"/>
                <w:lang w:val="en-US" w:eastAsia="zh-CN"/>
              </w:rPr>
              <w:t>型号规格：SC/UPC</w:t>
            </w:r>
          </w:p>
          <w:p>
            <w:pPr>
              <w:snapToGrid w:val="0"/>
              <w:spacing w:line="360" w:lineRule="auto"/>
              <w:ind w:firstLine="480"/>
              <w:rPr>
                <w:rFonts w:hint="eastAsia" w:ascii="楷体" w:hAnsi="楷体" w:eastAsia="楷体" w:cs="楷体"/>
                <w:szCs w:val="24"/>
                <w:lang w:val="en-US" w:eastAsia="zh-CN"/>
              </w:rPr>
            </w:pPr>
            <w:r>
              <w:rPr>
                <w:rFonts w:hint="eastAsia" w:ascii="楷体" w:hAnsi="楷体" w:eastAsia="楷体" w:cs="楷体"/>
                <w:szCs w:val="24"/>
                <w:lang w:val="en-US" w:eastAsia="zh-CN"/>
              </w:rPr>
              <w:t>委托单位：江苏亨通广电股份有限公司</w:t>
            </w:r>
          </w:p>
          <w:p>
            <w:pPr>
              <w:snapToGrid w:val="0"/>
              <w:spacing w:line="360" w:lineRule="auto"/>
              <w:ind w:firstLine="480"/>
              <w:rPr>
                <w:rFonts w:hint="eastAsia" w:ascii="楷体" w:hAnsi="楷体" w:eastAsia="楷体" w:cs="楷体"/>
                <w:szCs w:val="24"/>
                <w:lang w:val="en-US" w:eastAsia="zh-CN"/>
              </w:rPr>
            </w:pPr>
            <w:r>
              <w:rPr>
                <w:rFonts w:hint="eastAsia" w:ascii="楷体" w:hAnsi="楷体" w:eastAsia="楷体" w:cs="楷体"/>
                <w:szCs w:val="24"/>
                <w:lang w:val="en-US" w:eastAsia="zh-CN"/>
              </w:rPr>
              <w:t>检验类别：委托检验</w:t>
            </w:r>
          </w:p>
          <w:p>
            <w:pPr>
              <w:snapToGrid w:val="0"/>
              <w:spacing w:line="360" w:lineRule="auto"/>
              <w:ind w:firstLine="480"/>
              <w:rPr>
                <w:rFonts w:hint="eastAsia" w:ascii="楷体" w:hAnsi="楷体" w:eastAsia="楷体" w:cs="楷体"/>
                <w:szCs w:val="24"/>
                <w:lang w:val="en-US" w:eastAsia="zh-CN"/>
              </w:rPr>
            </w:pPr>
            <w:r>
              <w:rPr>
                <w:rFonts w:hint="eastAsia" w:ascii="楷体" w:hAnsi="楷体" w:eastAsia="楷体" w:cs="楷体"/>
                <w:szCs w:val="24"/>
                <w:lang w:val="en-US" w:eastAsia="zh-CN"/>
              </w:rPr>
              <w:t>（具体内容见收集资料单）</w:t>
            </w:r>
          </w:p>
          <w:p>
            <w:pPr>
              <w:snapToGrid w:val="0"/>
              <w:spacing w:line="360" w:lineRule="auto"/>
              <w:ind w:firstLine="480"/>
              <w:rPr>
                <w:rFonts w:hint="eastAsia" w:ascii="楷体" w:hAnsi="楷体" w:eastAsia="楷体" w:cs="楷体"/>
                <w:szCs w:val="24"/>
                <w:lang w:val="en-US" w:eastAsia="zh-CN"/>
              </w:rPr>
            </w:pPr>
          </w:p>
          <w:p>
            <w:pPr>
              <w:snapToGrid w:val="0"/>
              <w:spacing w:line="360" w:lineRule="auto"/>
              <w:ind w:firstLine="480"/>
              <w:rPr>
                <w:rFonts w:hint="eastAsia" w:ascii="楷体" w:hAnsi="楷体" w:eastAsia="楷体" w:cs="楷体"/>
                <w:szCs w:val="24"/>
                <w:lang w:val="en-US" w:eastAsia="zh-CN"/>
              </w:rPr>
            </w:pPr>
            <w:r>
              <w:rPr>
                <w:rFonts w:hint="eastAsia" w:ascii="楷体" w:hAnsi="楷体" w:eastAsia="楷体" w:cs="楷体"/>
                <w:szCs w:val="24"/>
                <w:lang w:val="en-US" w:eastAsia="zh-CN"/>
              </w:rPr>
              <w:t>提供报告编号10111801150050光缆接头盒、型号GJS-65 检验报告；</w:t>
            </w:r>
          </w:p>
          <w:p>
            <w:pPr>
              <w:snapToGrid w:val="0"/>
              <w:spacing w:line="360" w:lineRule="auto"/>
              <w:ind w:firstLine="480"/>
              <w:rPr>
                <w:rFonts w:hint="default" w:ascii="楷体" w:hAnsi="楷体" w:eastAsia="楷体" w:cs="楷体"/>
                <w:szCs w:val="24"/>
                <w:lang w:val="en-US" w:eastAsia="zh-CN"/>
              </w:rPr>
            </w:pPr>
            <w:r>
              <w:rPr>
                <w:rFonts w:hint="eastAsia" w:ascii="楷体" w:hAnsi="楷体" w:eastAsia="楷体" w:cs="楷体"/>
                <w:szCs w:val="24"/>
                <w:lang w:val="en-US" w:eastAsia="zh-CN"/>
              </w:rPr>
              <w:t xml:space="preserve">   申请单位：江苏亨通广电股份有限公司</w:t>
            </w:r>
          </w:p>
          <w:p>
            <w:pPr>
              <w:snapToGrid w:val="0"/>
              <w:spacing w:line="360" w:lineRule="auto"/>
              <w:ind w:firstLine="480"/>
              <w:rPr>
                <w:rFonts w:hint="eastAsia" w:ascii="楷体" w:hAnsi="楷体" w:eastAsia="楷体" w:cs="楷体"/>
                <w:szCs w:val="24"/>
                <w:lang w:val="en-US" w:eastAsia="zh-CN"/>
              </w:rPr>
            </w:pPr>
            <w:r>
              <w:rPr>
                <w:rFonts w:hint="eastAsia" w:ascii="楷体" w:hAnsi="楷体" w:eastAsia="楷体" w:cs="楷体"/>
                <w:szCs w:val="24"/>
                <w:lang w:val="en-US" w:eastAsia="zh-CN"/>
              </w:rPr>
              <w:t>产品名称：光纤活动连接器</w:t>
            </w:r>
          </w:p>
          <w:p>
            <w:pPr>
              <w:snapToGrid w:val="0"/>
              <w:spacing w:line="360" w:lineRule="auto"/>
              <w:ind w:firstLine="480"/>
              <w:rPr>
                <w:rFonts w:hint="eastAsia" w:ascii="楷体" w:hAnsi="楷体" w:eastAsia="楷体" w:cs="楷体"/>
                <w:szCs w:val="24"/>
                <w:lang w:val="en-US" w:eastAsia="zh-CN"/>
              </w:rPr>
            </w:pPr>
            <w:r>
              <w:rPr>
                <w:rFonts w:hint="eastAsia" w:ascii="楷体" w:hAnsi="楷体" w:eastAsia="楷体" w:cs="楷体"/>
                <w:szCs w:val="24"/>
                <w:lang w:val="en-US" w:eastAsia="zh-CN"/>
              </w:rPr>
              <w:t>型号规格：GJS-65</w:t>
            </w:r>
          </w:p>
          <w:p>
            <w:pPr>
              <w:snapToGrid w:val="0"/>
              <w:spacing w:line="360" w:lineRule="auto"/>
              <w:ind w:firstLine="480"/>
              <w:rPr>
                <w:rFonts w:hint="eastAsia" w:ascii="楷体" w:hAnsi="楷体" w:eastAsia="楷体" w:cs="楷体"/>
                <w:szCs w:val="24"/>
                <w:lang w:val="en-US" w:eastAsia="zh-CN"/>
              </w:rPr>
            </w:pPr>
            <w:r>
              <w:rPr>
                <w:rFonts w:hint="eastAsia" w:ascii="楷体" w:hAnsi="楷体" w:eastAsia="楷体" w:cs="楷体"/>
                <w:szCs w:val="24"/>
                <w:lang w:val="en-US" w:eastAsia="zh-CN"/>
              </w:rPr>
              <w:t>委托单位：江苏亨通广电股份有限公司</w:t>
            </w:r>
          </w:p>
          <w:p>
            <w:pPr>
              <w:snapToGrid w:val="0"/>
              <w:spacing w:line="360" w:lineRule="auto"/>
              <w:ind w:firstLine="480"/>
              <w:rPr>
                <w:rFonts w:hint="eastAsia" w:ascii="楷体" w:hAnsi="楷体" w:eastAsia="楷体" w:cs="楷体"/>
                <w:szCs w:val="24"/>
                <w:lang w:val="en-US" w:eastAsia="zh-CN"/>
              </w:rPr>
            </w:pPr>
            <w:r>
              <w:rPr>
                <w:rFonts w:hint="eastAsia" w:ascii="楷体" w:hAnsi="楷体" w:eastAsia="楷体" w:cs="楷体"/>
                <w:szCs w:val="24"/>
                <w:lang w:val="en-US" w:eastAsia="zh-CN"/>
              </w:rPr>
              <w:t>检验类别：委托检验</w:t>
            </w:r>
          </w:p>
          <w:p>
            <w:pPr>
              <w:snapToGrid w:val="0"/>
              <w:spacing w:line="360" w:lineRule="auto"/>
              <w:ind w:firstLine="480"/>
              <w:rPr>
                <w:rFonts w:hint="default" w:ascii="楷体" w:hAnsi="楷体" w:eastAsia="楷体" w:cs="楷体"/>
                <w:szCs w:val="24"/>
                <w:lang w:val="en-US" w:eastAsia="zh-CN"/>
              </w:rPr>
            </w:pPr>
            <w:r>
              <w:rPr>
                <w:rFonts w:hint="eastAsia" w:ascii="楷体" w:hAnsi="楷体" w:eastAsia="楷体" w:cs="楷体"/>
                <w:szCs w:val="24"/>
                <w:lang w:val="en-US" w:eastAsia="zh-CN"/>
              </w:rPr>
              <w:t>（具体内容见收集资料单</w:t>
            </w:r>
          </w:p>
          <w:p>
            <w:pPr>
              <w:snapToGrid w:val="0"/>
              <w:spacing w:line="360" w:lineRule="auto"/>
              <w:ind w:firstLine="480"/>
              <w:rPr>
                <w:rFonts w:hint="eastAsia" w:ascii="楷体" w:hAnsi="楷体" w:eastAsia="楷体" w:cs="楷体"/>
                <w:szCs w:val="24"/>
                <w:lang w:val="en-US" w:eastAsia="zh-CN"/>
              </w:rPr>
            </w:pPr>
            <w:r>
              <w:rPr>
                <w:rFonts w:hint="eastAsia" w:ascii="楷体" w:hAnsi="楷体" w:eastAsia="楷体" w:cs="楷体"/>
                <w:szCs w:val="24"/>
              </w:rPr>
              <w:t>产品交付后没有发现不合格的情况，不合格品控制有效。</w:t>
            </w:r>
          </w:p>
        </w:tc>
        <w:tc>
          <w:tcPr>
            <w:tcW w:w="762" w:type="dxa"/>
            <w:vAlign w:val="top"/>
          </w:tcPr>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r>
              <w:rPr>
                <w:rFonts w:hint="eastAsia" w:ascii="宋体" w:hAnsi="宋体" w:cs="Arial"/>
                <w:spacing w:val="-6"/>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spacing w:line="360" w:lineRule="auto"/>
              <w:rPr>
                <w:rFonts w:hint="eastAsia" w:ascii="楷体" w:hAnsi="楷体" w:eastAsia="楷体"/>
                <w:szCs w:val="24"/>
              </w:rPr>
            </w:pPr>
            <w:r>
              <w:rPr>
                <w:rFonts w:hint="eastAsia" w:ascii="楷体" w:hAnsi="楷体" w:eastAsia="楷体" w:cs="Arial"/>
                <w:szCs w:val="24"/>
              </w:rPr>
              <w:t>环境因素、危险源辨识与评价</w:t>
            </w:r>
          </w:p>
        </w:tc>
        <w:tc>
          <w:tcPr>
            <w:tcW w:w="960" w:type="dxa"/>
          </w:tcPr>
          <w:p>
            <w:pPr>
              <w:spacing w:line="360" w:lineRule="auto"/>
              <w:rPr>
                <w:rFonts w:hint="eastAsia" w:ascii="楷体" w:hAnsi="楷体" w:eastAsia="楷体" w:cs="楷体"/>
                <w:szCs w:val="24"/>
              </w:rPr>
            </w:pPr>
            <w:r>
              <w:rPr>
                <w:rFonts w:hint="eastAsia" w:ascii="楷体" w:hAnsi="楷体" w:eastAsia="楷体" w:cs="楷体"/>
                <w:szCs w:val="24"/>
              </w:rPr>
              <w:t>E/S：</w:t>
            </w:r>
            <w:r>
              <w:rPr>
                <w:rFonts w:hint="eastAsia" w:ascii="楷体" w:hAnsi="楷体" w:eastAsia="楷体" w:cs="Arial"/>
                <w:szCs w:val="24"/>
              </w:rPr>
              <w:t xml:space="preserve">6.1.2 </w:t>
            </w:r>
          </w:p>
          <w:p>
            <w:pPr>
              <w:rPr>
                <w:rFonts w:hint="eastAsia" w:ascii="楷体" w:hAnsi="楷体" w:eastAsia="楷体" w:cs="Arial"/>
                <w:szCs w:val="24"/>
              </w:rPr>
            </w:pPr>
          </w:p>
        </w:tc>
        <w:tc>
          <w:tcPr>
            <w:tcW w:w="10827" w:type="dxa"/>
            <w:vAlign w:val="center"/>
          </w:tcPr>
          <w:p>
            <w:pPr>
              <w:snapToGrid w:val="0"/>
              <w:spacing w:line="360" w:lineRule="auto"/>
              <w:ind w:firstLine="480"/>
              <w:rPr>
                <w:rFonts w:hint="eastAsia" w:ascii="楷体" w:hAnsi="楷体" w:eastAsia="楷体" w:cs="楷体"/>
                <w:szCs w:val="24"/>
              </w:rPr>
            </w:pPr>
            <w:r>
              <w:rPr>
                <w:rFonts w:hint="eastAsia" w:ascii="楷体" w:hAnsi="楷体" w:eastAsia="楷体" w:cs="楷体"/>
                <w:szCs w:val="24"/>
              </w:rPr>
              <w:t>查有：《环境因素识别与评价控制程序</w:t>
            </w:r>
            <w:r>
              <w:rPr>
                <w:rFonts w:hint="eastAsia" w:ascii="楷体" w:hAnsi="楷体" w:eastAsia="楷体" w:cs="楷体"/>
                <w:szCs w:val="24"/>
                <w:lang w:val="en-US" w:eastAsia="zh-CN"/>
              </w:rPr>
              <w:t>GZ-</w:t>
            </w:r>
            <w:r>
              <w:rPr>
                <w:rFonts w:hint="eastAsia" w:ascii="楷体" w:hAnsi="楷体" w:eastAsia="楷体" w:cs="楷体"/>
                <w:szCs w:val="24"/>
              </w:rPr>
              <w:t>CX18-20</w:t>
            </w:r>
            <w:r>
              <w:rPr>
                <w:rFonts w:hint="eastAsia" w:ascii="楷体" w:hAnsi="楷体" w:eastAsia="楷体" w:cs="楷体"/>
                <w:szCs w:val="24"/>
                <w:lang w:val="en-US" w:eastAsia="zh-CN"/>
              </w:rPr>
              <w:t>21</w:t>
            </w:r>
            <w:r>
              <w:rPr>
                <w:rFonts w:hint="eastAsia" w:ascii="楷体" w:hAnsi="楷体" w:eastAsia="楷体" w:cs="楷体"/>
                <w:szCs w:val="24"/>
              </w:rPr>
              <w:t>》、《危险源辩识风险评价控制程序</w:t>
            </w:r>
            <w:r>
              <w:rPr>
                <w:rFonts w:hint="eastAsia" w:ascii="楷体" w:hAnsi="楷体" w:eastAsia="楷体" w:cs="楷体"/>
                <w:szCs w:val="24"/>
                <w:lang w:val="en-US" w:eastAsia="zh-CN"/>
              </w:rPr>
              <w:t>GZ-</w:t>
            </w:r>
            <w:r>
              <w:rPr>
                <w:rFonts w:hint="eastAsia" w:ascii="楷体" w:hAnsi="楷体" w:eastAsia="楷体" w:cs="楷体"/>
                <w:szCs w:val="24"/>
              </w:rPr>
              <w:t>CX21-20</w:t>
            </w:r>
            <w:r>
              <w:rPr>
                <w:rFonts w:hint="eastAsia" w:ascii="楷体" w:hAnsi="楷体" w:eastAsia="楷体" w:cs="楷体"/>
                <w:szCs w:val="24"/>
                <w:lang w:val="en-US" w:eastAsia="zh-CN"/>
              </w:rPr>
              <w:t>21</w:t>
            </w:r>
            <w:r>
              <w:rPr>
                <w:rFonts w:hint="eastAsia" w:ascii="楷体" w:hAnsi="楷体" w:eastAsia="楷体" w:cs="楷体"/>
                <w:szCs w:val="24"/>
              </w:rPr>
              <w:t>》。</w:t>
            </w:r>
          </w:p>
          <w:p>
            <w:pPr>
              <w:snapToGrid w:val="0"/>
              <w:spacing w:line="360" w:lineRule="auto"/>
              <w:ind w:firstLine="480"/>
              <w:rPr>
                <w:rFonts w:hint="eastAsia" w:ascii="楷体" w:hAnsi="楷体" w:eastAsia="楷体" w:cs="楷体"/>
                <w:szCs w:val="24"/>
              </w:rPr>
            </w:pPr>
            <w:r>
              <w:rPr>
                <w:rFonts w:hint="eastAsia" w:ascii="楷体" w:hAnsi="楷体" w:eastAsia="楷体" w:cs="楷体"/>
                <w:szCs w:val="24"/>
                <w:lang w:eastAsia="zh-CN"/>
              </w:rPr>
              <w:t>采购部</w:t>
            </w:r>
            <w:r>
              <w:rPr>
                <w:rFonts w:hint="eastAsia" w:ascii="楷体" w:hAnsi="楷体" w:eastAsia="楷体" w:cs="楷体"/>
                <w:szCs w:val="24"/>
              </w:rPr>
              <w:t>经理介绍：按照办公区域及服务过程对环境因素、危险源进行了辨识，辨识时考虑了三种时态：过去、现在和将来，和三种状态：正常、异常和紧急。</w:t>
            </w:r>
          </w:p>
          <w:p>
            <w:pPr>
              <w:spacing w:line="360" w:lineRule="auto"/>
              <w:ind w:firstLine="420" w:firstLineChars="200"/>
              <w:rPr>
                <w:rFonts w:hint="eastAsia" w:ascii="楷体" w:hAnsi="楷体" w:eastAsia="楷体" w:cs="楷体"/>
                <w:szCs w:val="24"/>
              </w:rPr>
            </w:pPr>
            <w:r>
              <w:rPr>
                <w:rFonts w:hint="eastAsia" w:ascii="楷体" w:hAnsi="楷体" w:eastAsia="楷体" w:cs="楷体"/>
                <w:szCs w:val="24"/>
              </w:rPr>
              <w:t>查本部门的《环境因素识别评价汇总表》，识别了本部门在办公、采购、销售、相关方等各有关过程的环境因素，包括电脑使用用电消耗、办公纸张消耗和废弃、销售产品、销售活动宣传材料的处置、车辆尾气排放、废包装物排放等环境因素，识别时能考虑产品生命周期观点。</w:t>
            </w:r>
          </w:p>
          <w:p>
            <w:pPr>
              <w:spacing w:line="360" w:lineRule="auto"/>
              <w:ind w:firstLine="420" w:firstLineChars="200"/>
              <w:rPr>
                <w:rFonts w:hint="eastAsia" w:ascii="楷体" w:hAnsi="楷体" w:eastAsia="楷体" w:cs="楷体"/>
                <w:szCs w:val="24"/>
              </w:rPr>
            </w:pPr>
            <w:r>
              <w:rPr>
                <w:rFonts w:hint="eastAsia" w:ascii="楷体" w:hAnsi="楷体" w:eastAsia="楷体" w:cs="楷体"/>
                <w:szCs w:val="24"/>
              </w:rPr>
              <w:t>查《重要环境因素清单》，涉及本部门有2项重要环境因素，包括：火灾、固体废弃物的排放。</w:t>
            </w:r>
          </w:p>
          <w:p>
            <w:pPr>
              <w:spacing w:line="360" w:lineRule="auto"/>
              <w:ind w:firstLine="420" w:firstLineChars="200"/>
              <w:rPr>
                <w:rFonts w:hint="eastAsia" w:ascii="楷体" w:hAnsi="楷体" w:eastAsia="楷体" w:cs="楷体"/>
                <w:szCs w:val="24"/>
              </w:rPr>
            </w:pPr>
            <w:r>
              <w:rPr>
                <w:rFonts w:hint="eastAsia" w:ascii="楷体" w:hAnsi="楷体" w:eastAsia="楷体" w:cs="楷体"/>
                <w:szCs w:val="24"/>
              </w:rPr>
              <w:t>控制措施：固废分类存放、垃圾等由办公室负责按规定处置，包装物分类卖掉，培训教育，消防配备有消防器材、应急预案等措施。</w:t>
            </w:r>
          </w:p>
          <w:p>
            <w:pPr>
              <w:snapToGrid w:val="0"/>
              <w:spacing w:line="360" w:lineRule="auto"/>
              <w:rPr>
                <w:rFonts w:hint="eastAsia" w:ascii="楷体" w:hAnsi="楷体" w:eastAsia="楷体" w:cs="楷体"/>
                <w:szCs w:val="24"/>
              </w:rPr>
            </w:pPr>
            <w:r>
              <w:rPr>
                <w:rFonts w:hint="eastAsia" w:ascii="楷体" w:hAnsi="楷体" w:eastAsia="楷体" w:cs="楷体"/>
                <w:szCs w:val="24"/>
              </w:rPr>
              <w:t xml:space="preserve">    查《危险源识别及风险评价表》，识别了电脑、复印辐射、办公电器漏电触电、采购及销售过程中的产品有毒有害、运输汽车事故、外来人员安全防护不当造成的火灾和人身伤害等危险源。</w:t>
            </w:r>
          </w:p>
          <w:p>
            <w:pPr>
              <w:spacing w:line="360" w:lineRule="auto"/>
              <w:ind w:firstLine="468"/>
              <w:rPr>
                <w:rFonts w:hint="eastAsia" w:ascii="楷体" w:hAnsi="楷体" w:eastAsia="楷体" w:cs="楷体"/>
                <w:szCs w:val="24"/>
              </w:rPr>
            </w:pPr>
            <w:r>
              <w:rPr>
                <w:rFonts w:hint="eastAsia" w:ascii="楷体" w:hAnsi="楷体" w:eastAsia="楷体" w:cs="楷体"/>
                <w:szCs w:val="24"/>
              </w:rPr>
              <w:t>查《不可接受风险清单》，涉及本部门的有3个不可接受风险，包括：触电、火灾、人身伤害等。</w:t>
            </w:r>
          </w:p>
          <w:p>
            <w:pPr>
              <w:spacing w:line="360" w:lineRule="auto"/>
              <w:ind w:firstLine="468"/>
              <w:rPr>
                <w:rFonts w:hint="eastAsia" w:ascii="楷体" w:hAnsi="楷体" w:eastAsia="楷体" w:cs="楷体"/>
                <w:szCs w:val="24"/>
              </w:rPr>
            </w:pPr>
            <w:r>
              <w:rPr>
                <w:rFonts w:hint="eastAsia" w:ascii="楷体" w:hAnsi="楷体" w:eastAsia="楷体" w:cs="楷体"/>
                <w:szCs w:val="24"/>
              </w:rPr>
              <w:t>危险源控制执行管理方案、配备消防器材、日常检查、培训教育、应急预案等运行控制措施。</w:t>
            </w:r>
          </w:p>
          <w:p>
            <w:pPr>
              <w:spacing w:line="360" w:lineRule="auto"/>
              <w:ind w:firstLine="315" w:firstLineChars="150"/>
              <w:rPr>
                <w:rFonts w:hint="eastAsia" w:ascii="楷体" w:hAnsi="楷体" w:eastAsia="楷体"/>
                <w:szCs w:val="24"/>
              </w:rPr>
            </w:pPr>
            <w:r>
              <w:rPr>
                <w:rFonts w:hint="eastAsia" w:ascii="楷体" w:hAnsi="楷体" w:eastAsia="楷体" w:cs="楷体"/>
                <w:szCs w:val="24"/>
              </w:rPr>
              <w:t xml:space="preserve"> 部门识别和评价基本充分，符合规定要求。</w:t>
            </w:r>
          </w:p>
        </w:tc>
        <w:tc>
          <w:tcPr>
            <w:tcW w:w="762" w:type="dxa"/>
          </w:tcPr>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default" w:ascii="宋体" w:hAnsi="宋体" w:cs="Arial"/>
                <w:spacing w:val="-6"/>
                <w:szCs w:val="21"/>
                <w:lang w:val="en-US" w:eastAsia="zh-CN"/>
              </w:rPr>
            </w:pPr>
            <w:r>
              <w:rPr>
                <w:rFonts w:hint="eastAsia" w:ascii="宋体" w:hAnsi="宋体" w:cs="Arial"/>
                <w:spacing w:val="-6"/>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spacing w:line="360" w:lineRule="auto"/>
              <w:rPr>
                <w:rFonts w:hint="eastAsia" w:ascii="楷体" w:hAnsi="楷体" w:eastAsia="楷体" w:cs="Arial"/>
                <w:szCs w:val="24"/>
              </w:rPr>
            </w:pPr>
            <w:r>
              <w:rPr>
                <w:rFonts w:hint="eastAsia" w:ascii="楷体" w:hAnsi="楷体" w:eastAsia="楷体" w:cs="Arial"/>
                <w:szCs w:val="24"/>
              </w:rPr>
              <w:t>运行策划和控制</w:t>
            </w:r>
          </w:p>
        </w:tc>
        <w:tc>
          <w:tcPr>
            <w:tcW w:w="960" w:type="dxa"/>
          </w:tcPr>
          <w:p>
            <w:pPr>
              <w:spacing w:line="360" w:lineRule="auto"/>
              <w:rPr>
                <w:rFonts w:hint="eastAsia" w:ascii="楷体" w:hAnsi="楷体" w:eastAsia="楷体" w:cs="楷体"/>
                <w:szCs w:val="24"/>
              </w:rPr>
            </w:pPr>
            <w:r>
              <w:rPr>
                <w:rFonts w:hint="eastAsia" w:ascii="楷体" w:hAnsi="楷体" w:eastAsia="楷体" w:cs="楷体"/>
                <w:szCs w:val="24"/>
              </w:rPr>
              <w:t>E/S：</w:t>
            </w:r>
            <w:r>
              <w:rPr>
                <w:rFonts w:hint="eastAsia" w:ascii="楷体" w:hAnsi="楷体" w:eastAsia="楷体" w:cs="Arial"/>
                <w:szCs w:val="24"/>
              </w:rPr>
              <w:t>8.1</w:t>
            </w:r>
          </w:p>
          <w:p>
            <w:pPr>
              <w:rPr>
                <w:rFonts w:hint="eastAsia" w:ascii="楷体" w:hAnsi="楷体" w:eastAsia="楷体" w:cs="Arial"/>
                <w:szCs w:val="24"/>
              </w:rPr>
            </w:pPr>
          </w:p>
        </w:tc>
        <w:tc>
          <w:tcPr>
            <w:tcW w:w="10827" w:type="dxa"/>
            <w:vAlign w:val="center"/>
          </w:tcPr>
          <w:p>
            <w:pPr>
              <w:spacing w:line="360" w:lineRule="auto"/>
              <w:rPr>
                <w:rFonts w:hint="eastAsia" w:ascii="楷体" w:hAnsi="楷体" w:eastAsia="楷体" w:cs="楷体"/>
                <w:szCs w:val="24"/>
              </w:rPr>
            </w:pPr>
            <w:r>
              <w:rPr>
                <w:rFonts w:hint="eastAsia" w:ascii="楷体" w:hAnsi="楷体" w:eastAsia="楷体" w:cs="楷体"/>
                <w:szCs w:val="24"/>
              </w:rPr>
              <w:t>1.编制并实施《消防安全管理程序》、《仓库管理制度》、《相关方管理程序》、《劳保、消防用品管理办法》、《环境保护管理办法》、《物品搬运运输管理制度》、《固体废弃物控制程序》、</w:t>
            </w:r>
            <w:r>
              <w:rPr>
                <w:rFonts w:hint="eastAsia" w:ascii="楷体" w:hAnsi="楷体" w:eastAsia="楷体" w:cs="楷体"/>
                <w:bCs/>
                <w:szCs w:val="24"/>
              </w:rPr>
              <w:t>《</w:t>
            </w:r>
            <w:r>
              <w:rPr>
                <w:rFonts w:hint="eastAsia" w:ascii="楷体" w:hAnsi="楷体" w:eastAsia="楷体" w:cs="楷体"/>
                <w:szCs w:val="24"/>
              </w:rPr>
              <w:t>火灾应急响应规范》、《职工安全守则》、《能源资源管理程序》等环境、职业健康安全控制程序和管理制度。</w:t>
            </w:r>
          </w:p>
          <w:p>
            <w:pPr>
              <w:spacing w:line="360" w:lineRule="auto"/>
              <w:rPr>
                <w:rFonts w:hint="eastAsia" w:ascii="楷体" w:hAnsi="楷体" w:eastAsia="楷体" w:cs="楷体"/>
                <w:szCs w:val="24"/>
              </w:rPr>
            </w:pPr>
            <w:r>
              <w:rPr>
                <w:rFonts w:hint="eastAsia" w:ascii="楷体" w:hAnsi="楷体" w:eastAsia="楷体" w:cs="楷体"/>
                <w:szCs w:val="24"/>
              </w:rPr>
              <w:t>2.公司通过各地政府部门招标进行销售，流程是招投标→合同评审→采购组织货源→检验→交付。</w:t>
            </w:r>
          </w:p>
          <w:p>
            <w:pPr>
              <w:spacing w:line="360" w:lineRule="auto"/>
              <w:rPr>
                <w:rFonts w:hint="eastAsia" w:ascii="楷体" w:hAnsi="楷体" w:eastAsia="楷体" w:cs="楷体"/>
                <w:szCs w:val="24"/>
              </w:rPr>
            </w:pPr>
            <w:r>
              <w:rPr>
                <w:rFonts w:hint="eastAsia" w:ascii="楷体" w:hAnsi="楷体" w:eastAsia="楷体" w:cs="楷体"/>
                <w:szCs w:val="24"/>
              </w:rPr>
              <w:t>3.公司目前销售的产品主要是：</w:t>
            </w:r>
            <w:r>
              <w:rPr>
                <w:rFonts w:hint="eastAsia" w:ascii="楷体" w:hAnsi="楷体" w:eastAsia="楷体" w:cs="楷体"/>
                <w:szCs w:val="24"/>
                <w:lang w:val="en-US" w:eastAsia="zh-CN"/>
              </w:rPr>
              <w:t>计算机软硬件及电子产品</w:t>
            </w:r>
            <w:r>
              <w:rPr>
                <w:rFonts w:hint="eastAsia" w:ascii="楷体" w:hAnsi="楷体" w:eastAsia="楷体" w:cs="楷体"/>
                <w:szCs w:val="24"/>
              </w:rPr>
              <w:t>。以上产品全部由厂家提供，均有合格证和使用说明以及检验报告。</w:t>
            </w:r>
          </w:p>
          <w:p>
            <w:pPr>
              <w:spacing w:line="360" w:lineRule="auto"/>
              <w:rPr>
                <w:rFonts w:hint="eastAsia" w:ascii="楷体" w:hAnsi="楷体" w:eastAsia="楷体" w:cs="楷体"/>
                <w:szCs w:val="24"/>
              </w:rPr>
            </w:pPr>
            <w:r>
              <w:rPr>
                <w:rFonts w:hint="eastAsia" w:ascii="楷体" w:hAnsi="楷体" w:eastAsia="楷体" w:cs="楷体"/>
                <w:szCs w:val="24"/>
              </w:rPr>
              <w:t>4.本部门办公中所使用的办公用品均由公司办公室负责统一打印、复印，产生的废弃物，由办公室统一处理。</w:t>
            </w:r>
          </w:p>
          <w:p>
            <w:pPr>
              <w:snapToGrid w:val="0"/>
              <w:spacing w:line="360" w:lineRule="auto"/>
              <w:rPr>
                <w:rFonts w:hint="eastAsia" w:ascii="楷体" w:hAnsi="楷体" w:eastAsia="楷体" w:cs="楷体"/>
                <w:szCs w:val="24"/>
              </w:rPr>
            </w:pPr>
            <w:r>
              <w:rPr>
                <w:rFonts w:hint="eastAsia" w:ascii="楷体" w:hAnsi="楷体" w:eastAsia="楷体" w:cs="楷体"/>
                <w:szCs w:val="24"/>
              </w:rPr>
              <w:t>5.对可回收的固体废弃物，一部分由厂家回收，厂家不回收的公司统一回收再利用或由物资回收公司处理，不可回收的废弃物由公司办公室统一处理，部门不单独处理。</w:t>
            </w:r>
          </w:p>
          <w:p>
            <w:pPr>
              <w:snapToGrid w:val="0"/>
              <w:spacing w:line="360" w:lineRule="auto"/>
              <w:ind w:firstLine="420" w:firstLineChars="200"/>
              <w:rPr>
                <w:rFonts w:hint="eastAsia" w:ascii="楷体" w:hAnsi="楷体" w:eastAsia="楷体" w:cs="楷体"/>
                <w:szCs w:val="24"/>
              </w:rPr>
            </w:pPr>
            <w:r>
              <w:rPr>
                <w:rFonts w:hint="eastAsia" w:ascii="楷体" w:hAnsi="楷体" w:eastAsia="楷体" w:cs="楷体"/>
                <w:szCs w:val="24"/>
              </w:rPr>
              <w:t>查见有《废弃物处置统计表》，详细记录了废纸、废墨盒、生活垃圾、废旧包装物的处理情况。查20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6</w:t>
            </w:r>
            <w:r>
              <w:rPr>
                <w:rFonts w:hint="eastAsia" w:ascii="楷体" w:hAnsi="楷体" w:eastAsia="楷体" w:cs="楷体"/>
                <w:szCs w:val="24"/>
              </w:rPr>
              <w:t>.11日处理废包装物40kg、废办公用纸6kg，处理方式：由环卫部门或回收处理。处理统计人：</w:t>
            </w:r>
            <w:r>
              <w:rPr>
                <w:rFonts w:hint="eastAsia" w:ascii="楷体" w:hAnsi="楷体" w:eastAsia="楷体" w:cs="楷体"/>
                <w:szCs w:val="24"/>
                <w:lang w:val="en-US" w:eastAsia="zh-CN"/>
              </w:rPr>
              <w:t>王飞燕</w:t>
            </w:r>
            <w:r>
              <w:rPr>
                <w:rFonts w:hint="eastAsia" w:ascii="楷体" w:hAnsi="楷体" w:eastAsia="楷体" w:cs="楷体"/>
                <w:szCs w:val="24"/>
              </w:rPr>
              <w:t>，审批人：</w:t>
            </w:r>
            <w:r>
              <w:rPr>
                <w:rFonts w:hint="eastAsia" w:ascii="楷体" w:hAnsi="楷体" w:eastAsia="楷体" w:cs="楷体"/>
                <w:szCs w:val="24"/>
                <w:lang w:val="en-US" w:eastAsia="zh-CN"/>
              </w:rPr>
              <w:t>闵慧</w:t>
            </w:r>
            <w:r>
              <w:rPr>
                <w:rFonts w:hint="eastAsia" w:ascii="楷体" w:hAnsi="楷体" w:eastAsia="楷体" w:cs="楷体"/>
                <w:szCs w:val="24"/>
              </w:rPr>
              <w:t>。</w:t>
            </w:r>
          </w:p>
          <w:p>
            <w:pPr>
              <w:snapToGrid w:val="0"/>
              <w:spacing w:line="360" w:lineRule="auto"/>
              <w:rPr>
                <w:rFonts w:hint="eastAsia" w:ascii="楷体" w:hAnsi="楷体" w:eastAsia="楷体" w:cs="楷体"/>
                <w:szCs w:val="24"/>
              </w:rPr>
            </w:pPr>
            <w:r>
              <w:rPr>
                <w:rFonts w:hint="eastAsia" w:ascii="楷体" w:hAnsi="楷体" w:eastAsia="楷体" w:cs="楷体"/>
                <w:szCs w:val="24"/>
              </w:rPr>
              <w:t>6.办公室主要是电的使用，电器有漏电保护器，经常对电路、电源进行检查，没有露电现象发生，查见有线路检查记录，20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5</w:t>
            </w:r>
            <w:r>
              <w:rPr>
                <w:rFonts w:hint="eastAsia" w:ascii="楷体" w:hAnsi="楷体" w:eastAsia="楷体" w:cs="楷体"/>
                <w:szCs w:val="24"/>
              </w:rPr>
              <w:t>月---20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8</w:t>
            </w:r>
            <w:r>
              <w:rPr>
                <w:rFonts w:hint="eastAsia" w:ascii="楷体" w:hAnsi="楷体" w:eastAsia="楷体" w:cs="楷体"/>
                <w:szCs w:val="24"/>
              </w:rPr>
              <w:t>月份检查结果正常，检查人</w:t>
            </w:r>
            <w:r>
              <w:rPr>
                <w:rFonts w:hint="eastAsia" w:ascii="楷体" w:hAnsi="楷体" w:eastAsia="楷体" w:cs="楷体"/>
                <w:szCs w:val="24"/>
                <w:lang w:val="en-US" w:eastAsia="zh-CN"/>
              </w:rPr>
              <w:t>王飞燕</w:t>
            </w:r>
            <w:r>
              <w:rPr>
                <w:rFonts w:hint="eastAsia" w:ascii="楷体" w:hAnsi="楷体" w:eastAsia="楷体" w:cs="楷体"/>
                <w:szCs w:val="24"/>
              </w:rPr>
              <w:t>。</w:t>
            </w:r>
          </w:p>
          <w:p>
            <w:pPr>
              <w:snapToGrid w:val="0"/>
              <w:spacing w:line="360" w:lineRule="auto"/>
              <w:rPr>
                <w:rFonts w:hint="eastAsia" w:ascii="楷体" w:hAnsi="楷体" w:eastAsia="楷体" w:cs="楷体"/>
                <w:szCs w:val="24"/>
              </w:rPr>
            </w:pPr>
            <w:r>
              <w:rPr>
                <w:rFonts w:hint="eastAsia" w:ascii="楷体" w:hAnsi="楷体" w:eastAsia="楷体" w:cs="楷体"/>
                <w:szCs w:val="24"/>
              </w:rPr>
              <w:t>7.建立并实施了《相关方管理程序</w:t>
            </w:r>
            <w:r>
              <w:rPr>
                <w:rFonts w:hint="eastAsia" w:ascii="楷体" w:hAnsi="楷体" w:eastAsia="楷体" w:cs="楷体"/>
                <w:szCs w:val="24"/>
                <w:lang w:val="en-US" w:eastAsia="zh-CN"/>
              </w:rPr>
              <w:t>GZ-</w:t>
            </w:r>
            <w:r>
              <w:rPr>
                <w:rFonts w:hint="eastAsia" w:ascii="楷体" w:hAnsi="楷体" w:eastAsia="楷体" w:cs="楷体"/>
                <w:szCs w:val="24"/>
              </w:rPr>
              <w:t>.CX11-20</w:t>
            </w:r>
            <w:r>
              <w:rPr>
                <w:rFonts w:hint="eastAsia" w:ascii="楷体" w:hAnsi="楷体" w:eastAsia="楷体" w:cs="楷体"/>
                <w:szCs w:val="24"/>
                <w:lang w:val="en-US" w:eastAsia="zh-CN"/>
              </w:rPr>
              <w:t>21</w:t>
            </w:r>
            <w:r>
              <w:rPr>
                <w:rFonts w:hint="eastAsia" w:ascii="楷体" w:hAnsi="楷体" w:eastAsia="楷体" w:cs="楷体"/>
                <w:szCs w:val="24"/>
              </w:rPr>
              <w:t>》，</w:t>
            </w:r>
          </w:p>
          <w:p>
            <w:pPr>
              <w:snapToGrid w:val="0"/>
              <w:spacing w:line="360" w:lineRule="auto"/>
              <w:ind w:firstLine="480"/>
              <w:rPr>
                <w:rFonts w:hint="eastAsia" w:ascii="楷体" w:hAnsi="楷体" w:eastAsia="楷体" w:cs="楷体"/>
                <w:szCs w:val="24"/>
              </w:rPr>
            </w:pPr>
            <w:r>
              <w:rPr>
                <w:rFonts w:hint="eastAsia" w:ascii="楷体" w:hAnsi="楷体" w:eastAsia="楷体" w:cs="楷体"/>
                <w:szCs w:val="24"/>
              </w:rPr>
              <w:t>提供《对相关方施加影响记录表》，20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6</w:t>
            </w:r>
            <w:r>
              <w:rPr>
                <w:rFonts w:hint="eastAsia" w:ascii="楷体" w:hAnsi="楷体" w:eastAsia="楷体" w:cs="楷体"/>
                <w:szCs w:val="24"/>
              </w:rPr>
              <w:t>.29日对所有采购物资相关方施加影响，内容:将公司的环境/职业健康安全方针、重要环境因素/危险源等，通过传真发函的方式通知对方，记录人</w:t>
            </w:r>
            <w:r>
              <w:rPr>
                <w:rFonts w:hint="eastAsia" w:ascii="楷体" w:hAnsi="楷体" w:eastAsia="楷体" w:cs="楷体"/>
                <w:szCs w:val="24"/>
                <w:lang w:eastAsia="zh-CN"/>
              </w:rPr>
              <w:t>：</w:t>
            </w:r>
            <w:r>
              <w:rPr>
                <w:rFonts w:hint="eastAsia" w:ascii="楷体" w:hAnsi="楷体" w:eastAsia="楷体" w:cs="楷体"/>
                <w:szCs w:val="24"/>
                <w:lang w:val="en-US" w:eastAsia="zh-CN"/>
              </w:rPr>
              <w:t>王飞燕</w:t>
            </w:r>
            <w:r>
              <w:rPr>
                <w:rFonts w:hint="eastAsia" w:ascii="楷体" w:hAnsi="楷体" w:eastAsia="楷体" w:cs="楷体"/>
                <w:szCs w:val="24"/>
              </w:rPr>
              <w:t>。</w:t>
            </w:r>
          </w:p>
          <w:p>
            <w:pPr>
              <w:spacing w:line="360" w:lineRule="auto"/>
              <w:rPr>
                <w:rFonts w:hint="eastAsia" w:ascii="楷体" w:hAnsi="楷体" w:eastAsia="楷体" w:cs="楷体"/>
                <w:szCs w:val="24"/>
              </w:rPr>
            </w:pPr>
            <w:r>
              <w:rPr>
                <w:rFonts w:hint="eastAsia" w:ascii="楷体" w:hAnsi="楷体" w:eastAsia="楷体" w:cs="楷体"/>
                <w:szCs w:val="24"/>
              </w:rPr>
              <w:t>8.</w:t>
            </w:r>
            <w:r>
              <w:rPr>
                <w:rFonts w:hint="eastAsia" w:ascii="楷体" w:hAnsi="楷体" w:eastAsia="楷体" w:cs="楷体"/>
                <w:szCs w:val="24"/>
                <w:lang w:eastAsia="zh-CN"/>
              </w:rPr>
              <w:t>采购部</w:t>
            </w:r>
            <w:r>
              <w:rPr>
                <w:rFonts w:hint="eastAsia" w:ascii="楷体" w:hAnsi="楷体" w:eastAsia="楷体" w:cs="楷体"/>
                <w:szCs w:val="24"/>
              </w:rPr>
              <w:t>向供应商发放总经理</w:t>
            </w:r>
            <w:r>
              <w:rPr>
                <w:rFonts w:hint="eastAsia" w:ascii="楷体" w:hAnsi="楷体" w:eastAsia="楷体" w:cs="楷体"/>
                <w:szCs w:val="24"/>
                <w:lang w:eastAsia="zh-CN"/>
              </w:rPr>
              <w:t>闵慧</w:t>
            </w:r>
            <w:r>
              <w:rPr>
                <w:rFonts w:hint="eastAsia" w:ascii="楷体" w:hAnsi="楷体" w:eastAsia="楷体" w:cs="楷体"/>
                <w:szCs w:val="24"/>
              </w:rPr>
              <w:t>签名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要求外来人员在本公司处不得吸烟，不得来回走动，遵守公司的规章制度等。</w:t>
            </w:r>
          </w:p>
          <w:p>
            <w:pPr>
              <w:spacing w:line="360" w:lineRule="auto"/>
              <w:rPr>
                <w:rFonts w:hint="eastAsia" w:ascii="楷体" w:hAnsi="楷体" w:eastAsia="楷体" w:cs="楷体"/>
                <w:szCs w:val="24"/>
              </w:rPr>
            </w:pPr>
            <w:r>
              <w:rPr>
                <w:rFonts w:hint="eastAsia" w:ascii="楷体" w:hAnsi="楷体" w:eastAsia="楷体" w:cs="楷体"/>
                <w:szCs w:val="24"/>
              </w:rPr>
              <w:t>9.对供应商施加影响还包括在评定供应商时，获取质量、环境、职业健康安全管理体系证书则优先，产品必须用环保无毒无害材料、无尖角毛刺等措施。</w:t>
            </w:r>
          </w:p>
          <w:p>
            <w:pPr>
              <w:spacing w:line="360" w:lineRule="auto"/>
              <w:rPr>
                <w:rFonts w:hint="eastAsia" w:ascii="楷体" w:hAnsi="楷体" w:eastAsia="楷体" w:cs="楷体"/>
                <w:szCs w:val="24"/>
              </w:rPr>
            </w:pPr>
            <w:r>
              <w:rPr>
                <w:rFonts w:hint="eastAsia" w:ascii="楷体" w:hAnsi="楷体" w:eastAsia="楷体" w:cs="楷体"/>
                <w:szCs w:val="24"/>
              </w:rPr>
              <w:t>10.在装卸车时，要求装运人员必须穿戴劳动防护用品，合理使用搬运工具。</w:t>
            </w:r>
          </w:p>
          <w:p>
            <w:pPr>
              <w:spacing w:line="360" w:lineRule="auto"/>
              <w:rPr>
                <w:rFonts w:hint="eastAsia" w:ascii="楷体" w:hAnsi="楷体" w:eastAsia="楷体" w:cs="楷体"/>
                <w:szCs w:val="24"/>
              </w:rPr>
            </w:pPr>
            <w:r>
              <w:rPr>
                <w:rFonts w:hint="eastAsia" w:ascii="楷体" w:hAnsi="楷体" w:eastAsia="楷体" w:cs="楷体"/>
                <w:szCs w:val="24"/>
              </w:rPr>
              <w:t>11.运输使用物流公司运输，货物少量自己运输，本公司销售人员押车，选择车况较好的车辆，防止超高，超重，超宽；司机每4小时倒班作业，货物装卸时要求戴手套，轻拿轻放。</w:t>
            </w:r>
          </w:p>
          <w:p>
            <w:pPr>
              <w:spacing w:line="360" w:lineRule="auto"/>
              <w:rPr>
                <w:rFonts w:hint="eastAsia" w:ascii="楷体" w:hAnsi="楷体" w:eastAsia="楷体" w:cs="楷体"/>
                <w:szCs w:val="24"/>
              </w:rPr>
            </w:pPr>
            <w:r>
              <w:rPr>
                <w:rFonts w:hint="eastAsia" w:ascii="楷体" w:hAnsi="楷体" w:eastAsia="楷体" w:cs="楷体"/>
                <w:szCs w:val="24"/>
              </w:rPr>
              <w:t>12. 对外招投标和业务洽谈时明确承诺公司产品环保、无毒无害。</w:t>
            </w:r>
          </w:p>
        </w:tc>
        <w:tc>
          <w:tcPr>
            <w:tcW w:w="762" w:type="dxa"/>
          </w:tcPr>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default" w:ascii="宋体" w:hAnsi="宋体" w:cs="Arial"/>
                <w:spacing w:val="-6"/>
                <w:szCs w:val="21"/>
                <w:lang w:val="en-US" w:eastAsia="zh-CN"/>
              </w:rPr>
            </w:pPr>
            <w:r>
              <w:rPr>
                <w:rFonts w:hint="eastAsia" w:ascii="宋体" w:hAnsi="宋体" w:cs="Arial"/>
                <w:spacing w:val="-6"/>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spacing w:line="360" w:lineRule="auto"/>
              <w:rPr>
                <w:rFonts w:hint="eastAsia" w:ascii="楷体" w:hAnsi="楷体" w:eastAsia="楷体" w:cs="Arial"/>
                <w:szCs w:val="24"/>
              </w:rPr>
            </w:pPr>
            <w:r>
              <w:rPr>
                <w:rFonts w:hint="eastAsia" w:ascii="楷体" w:hAnsi="楷体" w:eastAsia="楷体" w:cs="Arial"/>
                <w:szCs w:val="24"/>
              </w:rPr>
              <w:t>应急准备和响应</w:t>
            </w:r>
          </w:p>
        </w:tc>
        <w:tc>
          <w:tcPr>
            <w:tcW w:w="960" w:type="dxa"/>
          </w:tcPr>
          <w:p>
            <w:pPr>
              <w:rPr>
                <w:rFonts w:hint="eastAsia" w:ascii="楷体" w:hAnsi="楷体" w:eastAsia="楷体" w:cs="Arial"/>
                <w:szCs w:val="24"/>
              </w:rPr>
            </w:pPr>
            <w:r>
              <w:rPr>
                <w:rFonts w:hint="eastAsia" w:ascii="楷体" w:hAnsi="楷体" w:eastAsia="楷体" w:cs="楷体"/>
                <w:szCs w:val="24"/>
              </w:rPr>
              <w:t>E/S：</w:t>
            </w:r>
            <w:r>
              <w:rPr>
                <w:rFonts w:hint="eastAsia" w:ascii="楷体" w:hAnsi="楷体" w:eastAsia="楷体" w:cs="Arial"/>
                <w:szCs w:val="24"/>
              </w:rPr>
              <w:t>8.2</w:t>
            </w:r>
          </w:p>
        </w:tc>
        <w:tc>
          <w:tcPr>
            <w:tcW w:w="10827" w:type="dxa"/>
            <w:vAlign w:val="center"/>
          </w:tcPr>
          <w:p>
            <w:pPr>
              <w:spacing w:line="360" w:lineRule="auto"/>
              <w:rPr>
                <w:rFonts w:hint="eastAsia" w:ascii="楷体" w:hAnsi="楷体" w:eastAsia="楷体" w:cs="楷体"/>
                <w:szCs w:val="24"/>
              </w:rPr>
            </w:pPr>
            <w:r>
              <w:rPr>
                <w:rFonts w:hint="eastAsia" w:ascii="楷体" w:hAnsi="楷体" w:eastAsia="楷体" w:cs="楷体"/>
                <w:szCs w:val="24"/>
              </w:rPr>
              <w:t xml:space="preserve"> 制定实施了《应急准备和响应控制程序</w:t>
            </w:r>
            <w:r>
              <w:rPr>
                <w:rFonts w:hint="eastAsia" w:ascii="楷体" w:hAnsi="楷体" w:eastAsia="楷体" w:cs="楷体"/>
                <w:szCs w:val="24"/>
                <w:lang w:val="en-US" w:eastAsia="zh-CN"/>
              </w:rPr>
              <w:t>GZ-</w:t>
            </w:r>
            <w:r>
              <w:rPr>
                <w:rFonts w:hint="eastAsia" w:ascii="楷体" w:hAnsi="楷体" w:eastAsia="楷体" w:cs="楷体"/>
                <w:szCs w:val="24"/>
              </w:rPr>
              <w:t>CX14-20</w:t>
            </w:r>
            <w:r>
              <w:rPr>
                <w:rFonts w:hint="eastAsia" w:ascii="楷体" w:hAnsi="楷体" w:eastAsia="楷体" w:cs="楷体"/>
                <w:szCs w:val="24"/>
                <w:lang w:val="en-US" w:eastAsia="zh-CN"/>
              </w:rPr>
              <w:t>21</w:t>
            </w:r>
            <w:r>
              <w:rPr>
                <w:rFonts w:hint="eastAsia" w:ascii="楷体" w:hAnsi="楷体" w:eastAsia="楷体" w:cs="楷体"/>
                <w:szCs w:val="24"/>
              </w:rPr>
              <w:t>》，制定了火灾、触电、人员伤亡应急预案共计3项。内容包括：目的、适用范围、职责、应急处理细则、演习、必备资料等。</w:t>
            </w:r>
          </w:p>
          <w:p>
            <w:pPr>
              <w:spacing w:line="360" w:lineRule="auto"/>
              <w:ind w:firstLine="315" w:firstLineChars="150"/>
              <w:rPr>
                <w:rFonts w:hint="eastAsia" w:ascii="楷体" w:hAnsi="楷体" w:eastAsia="楷体" w:cs="楷体"/>
                <w:szCs w:val="24"/>
              </w:rPr>
            </w:pPr>
            <w:r>
              <w:rPr>
                <w:rFonts w:hint="eastAsia" w:ascii="楷体" w:hAnsi="楷体" w:eastAsia="楷体" w:cs="楷体"/>
                <w:szCs w:val="24"/>
              </w:rPr>
              <w:t>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5</w:t>
            </w:r>
            <w:r>
              <w:rPr>
                <w:rFonts w:hint="eastAsia" w:ascii="楷体" w:hAnsi="楷体" w:eastAsia="楷体" w:cs="楷体"/>
                <w:szCs w:val="24"/>
              </w:rPr>
              <w:t>.</w:t>
            </w:r>
            <w:r>
              <w:rPr>
                <w:rFonts w:hint="eastAsia" w:ascii="楷体" w:hAnsi="楷体" w:eastAsia="楷体" w:cs="楷体"/>
                <w:szCs w:val="24"/>
                <w:lang w:val="en-US" w:eastAsia="zh-CN"/>
              </w:rPr>
              <w:t>30</w:t>
            </w:r>
            <w:r>
              <w:rPr>
                <w:rFonts w:hint="eastAsia" w:ascii="楷体" w:hAnsi="楷体" w:eastAsia="楷体" w:cs="楷体"/>
                <w:szCs w:val="24"/>
              </w:rPr>
              <w:t>日参加了由办公室组织的消防演练。</w:t>
            </w:r>
          </w:p>
          <w:p>
            <w:pPr>
              <w:spacing w:line="360" w:lineRule="auto"/>
              <w:ind w:firstLine="315" w:firstLineChars="150"/>
              <w:rPr>
                <w:rFonts w:hint="eastAsia" w:ascii="楷体" w:hAnsi="楷体" w:eastAsia="楷体" w:cs="楷体"/>
                <w:szCs w:val="24"/>
              </w:rPr>
            </w:pPr>
            <w:r>
              <w:rPr>
                <w:rFonts w:hint="eastAsia" w:ascii="楷体" w:hAnsi="楷体" w:eastAsia="楷体" w:cs="楷体"/>
                <w:szCs w:val="24"/>
              </w:rPr>
              <w:t>现场巡视仓库有灭火器，均有效。</w:t>
            </w:r>
          </w:p>
          <w:p>
            <w:pPr>
              <w:spacing w:line="360" w:lineRule="auto"/>
              <w:rPr>
                <w:rFonts w:hint="eastAsia" w:ascii="楷体" w:hAnsi="楷体" w:eastAsia="楷体" w:cs="楷体"/>
                <w:szCs w:val="24"/>
              </w:rPr>
            </w:pPr>
            <w:r>
              <w:rPr>
                <w:rFonts w:hint="eastAsia" w:ascii="楷体" w:hAnsi="楷体" w:eastAsia="楷体" w:cs="楷体"/>
                <w:szCs w:val="24"/>
              </w:rPr>
              <w:t>办公室和仓库负责人每月巡查消防设施管理和线路安全情况，查见20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6</w:t>
            </w:r>
            <w:r>
              <w:rPr>
                <w:rFonts w:hint="eastAsia" w:ascii="楷体" w:hAnsi="楷体" w:eastAsia="楷体" w:cs="楷体"/>
                <w:szCs w:val="24"/>
              </w:rPr>
              <w:t>月份、20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7</w:t>
            </w:r>
            <w:r>
              <w:rPr>
                <w:rFonts w:hint="eastAsia" w:ascii="楷体" w:hAnsi="楷体" w:eastAsia="楷体" w:cs="楷体"/>
                <w:szCs w:val="24"/>
              </w:rPr>
              <w:t>月份和20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8</w:t>
            </w:r>
            <w:r>
              <w:rPr>
                <w:rFonts w:hint="eastAsia" w:ascii="楷体" w:hAnsi="楷体" w:eastAsia="楷体" w:cs="楷体"/>
                <w:szCs w:val="24"/>
              </w:rPr>
              <w:t>月份</w:t>
            </w:r>
            <w:r>
              <w:rPr>
                <w:rFonts w:hint="eastAsia" w:ascii="楷体" w:hAnsi="楷体" w:eastAsia="楷体" w:cs="楷体"/>
                <w:szCs w:val="24"/>
                <w:lang w:eastAsia="zh-CN"/>
              </w:rPr>
              <w:t>、</w:t>
            </w:r>
            <w:r>
              <w:rPr>
                <w:rFonts w:hint="eastAsia" w:ascii="楷体" w:hAnsi="楷体" w:eastAsia="楷体" w:cs="楷体"/>
                <w:szCs w:val="24"/>
              </w:rPr>
              <w:t>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9</w:t>
            </w:r>
            <w:r>
              <w:rPr>
                <w:rFonts w:hint="eastAsia" w:ascii="楷体" w:hAnsi="楷体" w:eastAsia="楷体" w:cs="楷体"/>
                <w:szCs w:val="24"/>
              </w:rPr>
              <w:t>月份巡查记录未发现异常，检查人</w:t>
            </w:r>
            <w:r>
              <w:rPr>
                <w:rFonts w:hint="eastAsia" w:ascii="楷体" w:hAnsi="楷体" w:eastAsia="楷体" w:cs="楷体"/>
                <w:szCs w:val="24"/>
                <w:lang w:eastAsia="zh-CN"/>
              </w:rPr>
              <w:t>：</w:t>
            </w:r>
            <w:r>
              <w:rPr>
                <w:rFonts w:hint="eastAsia" w:ascii="楷体" w:hAnsi="楷体" w:eastAsia="楷体" w:cs="楷体"/>
                <w:szCs w:val="24"/>
                <w:lang w:val="en-US" w:eastAsia="zh-CN"/>
              </w:rPr>
              <w:t>王飞燕</w:t>
            </w:r>
            <w:r>
              <w:rPr>
                <w:rFonts w:hint="eastAsia" w:ascii="楷体" w:hAnsi="楷体" w:eastAsia="楷体" w:cs="楷体"/>
                <w:szCs w:val="24"/>
              </w:rPr>
              <w:t>。</w:t>
            </w:r>
          </w:p>
        </w:tc>
        <w:tc>
          <w:tcPr>
            <w:tcW w:w="762" w:type="dxa"/>
          </w:tcPr>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default" w:ascii="宋体" w:hAnsi="宋体" w:cs="Arial"/>
                <w:spacing w:val="-6"/>
                <w:szCs w:val="21"/>
                <w:lang w:val="en-US" w:eastAsia="zh-CN"/>
              </w:rPr>
            </w:pPr>
            <w:r>
              <w:rPr>
                <w:rFonts w:hint="eastAsia" w:ascii="宋体" w:hAnsi="宋体" w:cs="Arial"/>
                <w:spacing w:val="-6"/>
                <w:szCs w:val="21"/>
                <w:lang w:val="en-US" w:eastAsia="zh-CN"/>
              </w:rPr>
              <w:t xml:space="preserve">  y</w:t>
            </w:r>
          </w:p>
        </w:tc>
      </w:tr>
    </w:tbl>
    <w:p>
      <w:r>
        <w:ptab w:relativeTo="margin" w:alignment="center" w:leader="none"/>
      </w:r>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pPr>
                            <w:rPr>
                              <w:rFonts w:hint="eastAsia"/>
                              <w:sz w:val="18"/>
                              <w:szCs w:val="18"/>
                            </w:rPr>
                          </w:pPr>
                          <w:r>
                            <w:rPr>
                              <w:rFonts w:hint="eastAsia"/>
                              <w:sz w:val="18"/>
                              <w:szCs w:val="18"/>
                            </w:rPr>
                            <w:t>ISC-B-II-12(05版）</w:t>
                          </w:r>
                        </w:p>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pPr>
                      <w:rPr>
                        <w:rFonts w:hint="eastAsia"/>
                        <w:sz w:val="18"/>
                        <w:szCs w:val="18"/>
                      </w:rPr>
                    </w:pPr>
                    <w:r>
                      <w:rPr>
                        <w:rFonts w:hint="eastAsia"/>
                        <w:sz w:val="18"/>
                        <w:szCs w:val="18"/>
                      </w:rPr>
                      <w:t>ISC-B-II-12(05版）</w:t>
                    </w:r>
                  </w:p>
                  <w:p/>
                </w:txbxContent>
              </v:textbox>
            </v:shape>
          </w:pict>
        </mc:Fallback>
      </mc:AlternateConten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6567F3"/>
    <w:multiLevelType w:val="singleLevel"/>
    <w:tmpl w:val="CA6567F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CF"/>
    <w:rsid w:val="00082259"/>
    <w:rsid w:val="001357CF"/>
    <w:rsid w:val="002E0142"/>
    <w:rsid w:val="00450AEC"/>
    <w:rsid w:val="00EF453C"/>
    <w:rsid w:val="05782F9A"/>
    <w:rsid w:val="06186B64"/>
    <w:rsid w:val="09266A4E"/>
    <w:rsid w:val="0CCF5FF5"/>
    <w:rsid w:val="0E177FD7"/>
    <w:rsid w:val="0E33639C"/>
    <w:rsid w:val="0F743BC2"/>
    <w:rsid w:val="110F163A"/>
    <w:rsid w:val="11897992"/>
    <w:rsid w:val="1291018F"/>
    <w:rsid w:val="21CB262F"/>
    <w:rsid w:val="275F0912"/>
    <w:rsid w:val="2A6C590B"/>
    <w:rsid w:val="30CC0AB2"/>
    <w:rsid w:val="3116142A"/>
    <w:rsid w:val="31F7520E"/>
    <w:rsid w:val="32F03187"/>
    <w:rsid w:val="34E245E9"/>
    <w:rsid w:val="42CC55A4"/>
    <w:rsid w:val="44465E49"/>
    <w:rsid w:val="48BE50EE"/>
    <w:rsid w:val="49865EC0"/>
    <w:rsid w:val="4FA7591A"/>
    <w:rsid w:val="58356F34"/>
    <w:rsid w:val="5851279B"/>
    <w:rsid w:val="5A914F6D"/>
    <w:rsid w:val="5E5B6677"/>
    <w:rsid w:val="60372E6A"/>
    <w:rsid w:val="60765D2A"/>
    <w:rsid w:val="6ED06CBD"/>
    <w:rsid w:val="6F456471"/>
    <w:rsid w:val="70D63FC7"/>
    <w:rsid w:val="73663718"/>
    <w:rsid w:val="74E1676F"/>
    <w:rsid w:val="785351EC"/>
    <w:rsid w:val="7AC73656"/>
    <w:rsid w:val="7FC270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3">
    <w:name w:val="Body Text Indent"/>
    <w:basedOn w:val="1"/>
    <w:qFormat/>
    <w:uiPriority w:val="99"/>
    <w:pPr>
      <w:spacing w:after="120"/>
      <w:ind w:left="420" w:leftChars="200"/>
    </w:pPr>
  </w:style>
  <w:style w:type="paragraph" w:styleId="4">
    <w:name w:val="Block Text"/>
    <w:basedOn w:val="1"/>
    <w:qFormat/>
    <w:uiPriority w:val="0"/>
    <w:pPr>
      <w:autoSpaceDE w:val="0"/>
      <w:autoSpaceDN w:val="0"/>
      <w:adjustRightInd w:val="0"/>
      <w:spacing w:line="288" w:lineRule="auto"/>
      <w:ind w:left="-340" w:right="340" w:firstLine="482"/>
      <w:jc w:val="left"/>
      <w:textAlignment w:val="baseline"/>
    </w:pPr>
    <w:rPr>
      <w:rFonts w:ascii="宋体"/>
      <w:kern w:val="0"/>
      <w:sz w:val="24"/>
      <w:szCs w:val="20"/>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表格文字"/>
    <w:basedOn w:val="1"/>
    <w:qFormat/>
    <w:uiPriority w:val="0"/>
    <w:pPr>
      <w:spacing w:before="25" w:after="25"/>
    </w:pPr>
    <w:rPr>
      <w:bCs/>
      <w:spacing w:val="10"/>
    </w:rPr>
  </w:style>
  <w:style w:type="paragraph" w:customStyle="1" w:styleId="17">
    <w:name w:val="东方正文"/>
    <w:basedOn w:val="1"/>
    <w:qFormat/>
    <w:uiPriority w:val="0"/>
    <w:pPr>
      <w:spacing w:line="400" w:lineRule="exact"/>
      <w:ind w:left="284" w:right="284"/>
    </w:pPr>
  </w:style>
  <w:style w:type="paragraph" w:customStyle="1" w:styleId="18">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1327</Words>
  <Characters>7568</Characters>
  <Lines>63</Lines>
  <Paragraphs>17</Paragraphs>
  <TotalTime>5</TotalTime>
  <ScaleCrop>false</ScaleCrop>
  <LinksUpToDate>false</LinksUpToDate>
  <CharactersWithSpaces>8878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2021-10-12T08:03:18Z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EDE51730B0244078ABA710B6744C30C6</vt:lpwstr>
  </property>
</Properties>
</file>