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浙江格尔森木业有限公司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0357-2020-O-2021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rFonts w:hint="eastAsia"/>
                <w:sz w:val="22"/>
                <w:szCs w:val="22"/>
                <w:lang w:val="en-US" w:eastAsia="zh-CN"/>
              </w:rPr>
              <w:t>次</w:t>
            </w:r>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强兴</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方继欣</w:t>
            </w:r>
          </w:p>
        </w:tc>
        <w:tc>
          <w:tcPr>
            <w:tcW w:w="1184" w:type="dxa"/>
            <w:vAlign w:val="center"/>
          </w:tcPr>
          <w:p>
            <w:pPr>
              <w:snapToGrid w:val="0"/>
              <w:spacing w:line="320" w:lineRule="exact"/>
              <w:ind w:firstLine="552" w:firstLineChars="2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ind w:firstLine="400" w:firstLineChars="200"/>
              <w:jc w:val="both"/>
              <w:rPr>
                <w:b/>
                <w:sz w:val="22"/>
                <w:szCs w:val="22"/>
                <w:highlight w:val="yellow"/>
              </w:rPr>
            </w:pPr>
            <w:r>
              <w:rPr>
                <w:sz w:val="20"/>
                <w:lang w:val="de-DE"/>
              </w:rPr>
              <w:t>ISC-JSZJ-135浙江森林之星文化地板有限公司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846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2021-10-13T05:47:11Z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