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5"/>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998"/>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22"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98"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default" w:eastAsia="宋体"/>
                <w:sz w:val="24"/>
                <w:szCs w:val="24"/>
                <w:lang w:val="en-US" w:eastAsia="zh-CN"/>
              </w:rPr>
            </w:pPr>
            <w:r>
              <w:rPr>
                <w:rFonts w:hint="eastAsia"/>
                <w:sz w:val="24"/>
                <w:szCs w:val="24"/>
              </w:rPr>
              <w:t xml:space="preserve">受审核部门：销售部 </w:t>
            </w:r>
            <w:r>
              <w:rPr>
                <w:sz w:val="24"/>
                <w:szCs w:val="24"/>
              </w:rPr>
              <w:t xml:space="preserve">  </w:t>
            </w:r>
            <w:r>
              <w:rPr>
                <w:rFonts w:hint="eastAsia"/>
                <w:sz w:val="24"/>
                <w:szCs w:val="24"/>
              </w:rPr>
              <w:t xml:space="preserve">主管领导：沈建成 </w:t>
            </w:r>
            <w:r>
              <w:rPr>
                <w:sz w:val="24"/>
                <w:szCs w:val="24"/>
              </w:rPr>
              <w:t xml:space="preserve">  </w:t>
            </w:r>
            <w:r>
              <w:rPr>
                <w:rFonts w:hint="eastAsia"/>
                <w:sz w:val="24"/>
                <w:szCs w:val="24"/>
              </w:rPr>
              <w:t>陪同人员：</w:t>
            </w:r>
            <w:r>
              <w:rPr>
                <w:rFonts w:hint="eastAsia"/>
                <w:sz w:val="24"/>
                <w:szCs w:val="24"/>
                <w:lang w:val="en-US" w:eastAsia="zh-CN"/>
              </w:rPr>
              <w:t>蒋学民</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22" w:type="dxa"/>
            <w:vMerge w:val="continue"/>
            <w:vAlign w:val="center"/>
          </w:tcPr>
          <w:p/>
        </w:tc>
        <w:tc>
          <w:tcPr>
            <w:tcW w:w="998" w:type="dxa"/>
            <w:vMerge w:val="continue"/>
            <w:vAlign w:val="center"/>
          </w:tcPr>
          <w:p/>
        </w:tc>
        <w:tc>
          <w:tcPr>
            <w:tcW w:w="10004" w:type="dxa"/>
            <w:vAlign w:val="center"/>
          </w:tcPr>
          <w:p>
            <w:pPr>
              <w:spacing w:before="120"/>
              <w:rPr>
                <w:sz w:val="24"/>
                <w:szCs w:val="24"/>
              </w:rPr>
            </w:pPr>
            <w:r>
              <w:rPr>
                <w:rFonts w:hint="eastAsia"/>
                <w:sz w:val="24"/>
                <w:szCs w:val="24"/>
              </w:rPr>
              <w:t>审核员：</w:t>
            </w:r>
            <w:r>
              <w:rPr>
                <w:rFonts w:hint="eastAsia"/>
                <w:sz w:val="24"/>
                <w:szCs w:val="24"/>
                <w:lang w:val="en-US" w:eastAsia="zh-CN"/>
              </w:rPr>
              <w:t>强兴</w:t>
            </w:r>
            <w:r>
              <w:rPr>
                <w:rFonts w:hint="eastAsia"/>
                <w:sz w:val="24"/>
                <w:szCs w:val="24"/>
              </w:rPr>
              <w:t xml:space="preserve"> </w:t>
            </w:r>
            <w:r>
              <w:rPr>
                <w:sz w:val="24"/>
                <w:szCs w:val="24"/>
              </w:rPr>
              <w:t xml:space="preserve"> </w:t>
            </w:r>
            <w:r>
              <w:rPr>
                <w:rFonts w:hint="eastAsia"/>
                <w:sz w:val="24"/>
                <w:szCs w:val="24"/>
              </w:rPr>
              <w:t>审核时间：202</w:t>
            </w:r>
            <w:r>
              <w:rPr>
                <w:rFonts w:hint="eastAsia"/>
                <w:sz w:val="24"/>
                <w:szCs w:val="24"/>
                <w:lang w:val="en-US" w:eastAsia="zh-CN"/>
              </w:rPr>
              <w:t>1</w:t>
            </w:r>
            <w:r>
              <w:rPr>
                <w:rFonts w:hint="eastAsia"/>
                <w:sz w:val="24"/>
                <w:szCs w:val="24"/>
              </w:rPr>
              <w:t>年</w:t>
            </w:r>
            <w:r>
              <w:rPr>
                <w:rFonts w:hint="eastAsia"/>
                <w:sz w:val="24"/>
                <w:szCs w:val="24"/>
                <w:lang w:val="en-US" w:eastAsia="zh-CN"/>
              </w:rPr>
              <w:t>10</w:t>
            </w:r>
            <w:r>
              <w:rPr>
                <w:rFonts w:hint="eastAsia"/>
                <w:sz w:val="24"/>
                <w:szCs w:val="24"/>
              </w:rPr>
              <w:t>月</w:t>
            </w:r>
            <w:r>
              <w:rPr>
                <w:rFonts w:hint="eastAsia"/>
                <w:sz w:val="24"/>
                <w:szCs w:val="24"/>
                <w:lang w:val="en-US" w:eastAsia="zh-CN"/>
              </w:rPr>
              <w:t>14</w:t>
            </w:r>
            <w:r>
              <w:rPr>
                <w:rFonts w:hint="eastAsia"/>
                <w:sz w:val="24"/>
                <w:szCs w:val="24"/>
              </w:rPr>
              <w:t>日</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22" w:type="dxa"/>
            <w:vMerge w:val="continue"/>
            <w:vAlign w:val="center"/>
          </w:tcPr>
          <w:p/>
        </w:tc>
        <w:tc>
          <w:tcPr>
            <w:tcW w:w="998" w:type="dxa"/>
            <w:vMerge w:val="continue"/>
            <w:vAlign w:val="center"/>
          </w:tcPr>
          <w:p/>
        </w:tc>
        <w:tc>
          <w:tcPr>
            <w:tcW w:w="10004" w:type="dxa"/>
            <w:vAlign w:val="center"/>
          </w:tcPr>
          <w:p>
            <w:pPr>
              <w:adjustRightInd w:val="0"/>
              <w:snapToGrid w:val="0"/>
              <w:spacing w:line="320" w:lineRule="exact"/>
              <w:ind w:right="105" w:rightChars="50"/>
              <w:textAlignment w:val="baseline"/>
              <w:rPr>
                <w:rFonts w:ascii="宋体" w:hAnsi="宋体" w:cs="Arial"/>
                <w:szCs w:val="21"/>
              </w:rPr>
            </w:pPr>
            <w:r>
              <w:rPr>
                <w:rFonts w:hint="eastAsia"/>
                <w:sz w:val="24"/>
                <w:szCs w:val="24"/>
              </w:rPr>
              <w:t>审核条款：</w:t>
            </w:r>
          </w:p>
          <w:p>
            <w:pPr>
              <w:rPr>
                <w:sz w:val="24"/>
                <w:szCs w:val="24"/>
              </w:rPr>
            </w:pPr>
            <w:r>
              <w:rPr>
                <w:rFonts w:hint="eastAsia" w:ascii="宋体" w:hAnsi="宋体" w:cs="Arial"/>
                <w:szCs w:val="21"/>
              </w:rPr>
              <w:t>O: 5.3组织的岗位、职责和权限、6.2目标、6.1.2危险源辨识与评价、8.2应急准备和响应，</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spacing w:line="280" w:lineRule="exact"/>
              <w:rPr>
                <w:rFonts w:ascii="宋体" w:hAnsi="宋体" w:cs="宋体"/>
                <w:szCs w:val="21"/>
              </w:rPr>
            </w:pPr>
            <w:r>
              <w:rPr>
                <w:rFonts w:hint="eastAsia" w:ascii="宋体" w:hAnsi="宋体" w:cs="宋体"/>
                <w:szCs w:val="21"/>
              </w:rPr>
              <w:t>组织的岗位、职责和权限</w:t>
            </w:r>
          </w:p>
          <w:p>
            <w:pPr>
              <w:spacing w:line="280" w:lineRule="exact"/>
              <w:rPr>
                <w:rFonts w:ascii="宋体" w:hAnsi="宋体" w:cs="宋体"/>
                <w:szCs w:val="21"/>
              </w:rPr>
            </w:pPr>
          </w:p>
        </w:tc>
        <w:tc>
          <w:tcPr>
            <w:tcW w:w="998" w:type="dxa"/>
          </w:tcPr>
          <w:p>
            <w:pPr>
              <w:spacing w:line="280" w:lineRule="exact"/>
              <w:rPr>
                <w:rFonts w:ascii="宋体" w:hAnsi="宋体" w:cs="宋体"/>
                <w:szCs w:val="21"/>
              </w:rPr>
            </w:pPr>
            <w:r>
              <w:rPr>
                <w:szCs w:val="21"/>
              </w:rPr>
              <w:t>O</w:t>
            </w:r>
            <w:r>
              <w:rPr>
                <w:rFonts w:ascii="宋体" w:cs="宋体"/>
                <w:szCs w:val="21"/>
              </w:rPr>
              <w:t>5.3</w:t>
            </w:r>
          </w:p>
        </w:tc>
        <w:tc>
          <w:tcPr>
            <w:tcW w:w="10004" w:type="dxa"/>
            <w:vAlign w:val="center"/>
          </w:tcPr>
          <w:p>
            <w:pPr>
              <w:spacing w:line="280" w:lineRule="exact"/>
              <w:ind w:firstLine="420" w:firstLineChars="200"/>
              <w:rPr>
                <w:rFonts w:ascii="宋体" w:hAnsi="宋体" w:cs="宋体"/>
                <w:szCs w:val="21"/>
              </w:rPr>
            </w:pPr>
            <w:r>
              <w:rPr>
                <w:rFonts w:hint="eastAsia" w:ascii="宋体" w:hAnsi="宋体" w:cs="宋体"/>
                <w:szCs w:val="21"/>
              </w:rPr>
              <w:t>销售部按照公司领导要求，做好公司职能和岗位的具体确定，对从事与销售有关的管理、执行和验证人员规定其职责、权限及其相互关系，以实现公司管理方针和管理目标。</w:t>
            </w:r>
          </w:p>
          <w:p>
            <w:pPr>
              <w:spacing w:line="280" w:lineRule="exact"/>
              <w:ind w:firstLine="420" w:firstLineChars="200"/>
              <w:rPr>
                <w:rFonts w:ascii="宋体" w:hAnsi="宋体" w:cs="宋体"/>
                <w:szCs w:val="21"/>
              </w:rPr>
            </w:pPr>
            <w:r>
              <w:rPr>
                <w:rFonts w:hint="eastAsia" w:ascii="宋体" w:hAnsi="宋体" w:cs="宋体"/>
                <w:szCs w:val="21"/>
              </w:rPr>
              <w:t>销售部负责人：</w:t>
            </w:r>
            <w:r>
              <w:rPr>
                <w:rFonts w:hint="eastAsia" w:ascii="宋体" w:hAnsi="宋体" w:cs="宋体"/>
                <w:szCs w:val="21"/>
                <w:lang w:val="en-US" w:eastAsia="zh-CN"/>
              </w:rPr>
              <w:t>沈建成</w:t>
            </w:r>
            <w:r>
              <w:rPr>
                <w:rFonts w:hint="eastAsia" w:ascii="宋体" w:hAnsi="宋体" w:cs="宋体"/>
                <w:szCs w:val="21"/>
              </w:rPr>
              <w:t>。在手册中确定了销售部部门的的职能，人员职责、权限和相互关系。</w:t>
            </w:r>
          </w:p>
          <w:p>
            <w:pPr>
              <w:spacing w:line="280" w:lineRule="exact"/>
              <w:ind w:firstLine="420" w:firstLineChars="200"/>
              <w:rPr>
                <w:rFonts w:ascii="宋体" w:hAnsi="宋体" w:cs="宋体"/>
                <w:szCs w:val="21"/>
              </w:rPr>
            </w:pPr>
            <w:r>
              <w:rPr>
                <w:rFonts w:hint="eastAsia" w:ascii="宋体" w:hAnsi="宋体" w:cs="宋体"/>
                <w:szCs w:val="21"/>
              </w:rPr>
              <w:t>询问销售部人员，基本清楚本部门职责。</w:t>
            </w:r>
          </w:p>
          <w:p>
            <w:pPr>
              <w:spacing w:line="280" w:lineRule="exact"/>
              <w:ind w:firstLine="420" w:firstLineChars="200"/>
              <w:rPr>
                <w:rFonts w:ascii="宋体" w:hAnsi="宋体" w:cs="宋体"/>
                <w:szCs w:val="21"/>
              </w:rPr>
            </w:pPr>
            <w:r>
              <w:rPr>
                <w:rFonts w:hint="eastAsia" w:ascii="宋体" w:hAnsi="宋体" w:cs="宋体"/>
                <w:szCs w:val="21"/>
              </w:rPr>
              <w:t>现有上述管理人员配置满足要求，配有与工作相关的电脑、打/复印机、传真机等设施。</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2122" w:type="dxa"/>
          </w:tcPr>
          <w:p>
            <w:pPr>
              <w:spacing w:line="280" w:lineRule="exact"/>
              <w:rPr>
                <w:rFonts w:ascii="宋体" w:hAnsi="宋体" w:cs="宋体"/>
                <w:szCs w:val="21"/>
              </w:rPr>
            </w:pPr>
            <w:r>
              <w:rPr>
                <w:rFonts w:hint="eastAsia" w:ascii="宋体" w:hAnsi="宋体" w:cs="宋体"/>
                <w:szCs w:val="21"/>
              </w:rPr>
              <w:t>因素识别、危险源识别</w:t>
            </w:r>
          </w:p>
        </w:tc>
        <w:tc>
          <w:tcPr>
            <w:tcW w:w="998" w:type="dxa"/>
          </w:tcPr>
          <w:p>
            <w:pPr>
              <w:spacing w:line="280" w:lineRule="exact"/>
              <w:rPr>
                <w:rFonts w:ascii="宋体" w:hAnsi="宋体" w:cs="宋体"/>
                <w:szCs w:val="21"/>
              </w:rPr>
            </w:pPr>
            <w:r>
              <w:rPr>
                <w:szCs w:val="21"/>
              </w:rPr>
              <w:t>O</w:t>
            </w:r>
            <w:r>
              <w:rPr>
                <w:rFonts w:ascii="宋体" w:hAnsi="宋体" w:cs="宋体"/>
                <w:szCs w:val="21"/>
              </w:rPr>
              <w:t>6.1.2</w:t>
            </w:r>
          </w:p>
        </w:tc>
        <w:tc>
          <w:tcPr>
            <w:tcW w:w="10004" w:type="dxa"/>
            <w:vAlign w:val="center"/>
          </w:tcPr>
          <w:p>
            <w:pPr>
              <w:spacing w:line="280" w:lineRule="exact"/>
              <w:ind w:firstLine="420" w:firstLineChars="200"/>
              <w:rPr>
                <w:szCs w:val="21"/>
              </w:rPr>
            </w:pPr>
            <w:r>
              <w:rPr>
                <w:rFonts w:hint="eastAsia"/>
                <w:szCs w:val="21"/>
              </w:rPr>
              <w:t>提供了公司制定</w:t>
            </w:r>
            <w:r>
              <w:rPr>
                <w:rFonts w:hint="eastAsia" w:ascii="宋体" w:hAnsi="宋体" w:cs="宋体"/>
                <w:szCs w:val="21"/>
              </w:rPr>
              <w:t>《危险源辨识与风险评价控制措施管理程序》</w:t>
            </w:r>
            <w:r>
              <w:rPr>
                <w:rFonts w:hint="eastAsia"/>
                <w:szCs w:val="21"/>
              </w:rPr>
              <w:t>确保公司在所有管理活动或服务过程中能最大限度、充分地进行危险源辨识与风险性评价，确定不可接受风险并及时更新，实现对危险源与不可接受风险的有效控制。</w:t>
            </w:r>
          </w:p>
          <w:p>
            <w:pPr>
              <w:spacing w:line="240" w:lineRule="auto"/>
              <w:ind w:firstLine="420" w:firstLineChars="200"/>
              <w:jc w:val="both"/>
              <w:rPr>
                <w:rFonts w:hint="eastAsia" w:eastAsia="宋体"/>
                <w:szCs w:val="21"/>
                <w:lang w:eastAsia="zh-CN"/>
              </w:rPr>
            </w:pPr>
            <w:r>
              <w:rPr>
                <w:rFonts w:hint="eastAsia"/>
                <w:szCs w:val="21"/>
              </w:rPr>
              <w:t>提供了“危险源辨识和风险评价表”，销售部门活动识别的危险源为</w:t>
            </w:r>
            <w:r>
              <w:rPr>
                <w:rFonts w:hint="eastAsia"/>
                <w:szCs w:val="21"/>
                <w:lang w:val="en-US" w:eastAsia="zh-CN"/>
              </w:rPr>
              <w:t>电脑辐射引起职业病潜在危险、</w:t>
            </w:r>
            <w:r>
              <w:rPr>
                <w:rFonts w:hint="eastAsia"/>
                <w:szCs w:val="21"/>
              </w:rPr>
              <w:t>办</w:t>
            </w:r>
            <w:r>
              <w:rPr>
                <w:rFonts w:hint="eastAsia"/>
                <w:szCs w:val="21"/>
                <w:lang w:val="en-US" w:eastAsia="zh-CN"/>
              </w:rPr>
              <w:t>高温酷热造成中暑、车祸伤害造成人员伤亡、触电造成人员伤亡、车辆造成人员伤亡、超载造成伤亡</w:t>
            </w:r>
            <w:r>
              <w:rPr>
                <w:rFonts w:hint="eastAsia"/>
                <w:szCs w:val="21"/>
              </w:rPr>
              <w:t>、人员疫情防控等。</w:t>
            </w:r>
            <w:r>
              <w:rPr>
                <w:rFonts w:hint="eastAsia" w:eastAsia="宋体"/>
                <w:szCs w:val="21"/>
                <w:lang w:eastAsia="zh-CN"/>
              </w:rPr>
              <w:drawing>
                <wp:inline distT="0" distB="0" distL="114300" distR="114300">
                  <wp:extent cx="5652135" cy="2054860"/>
                  <wp:effectExtent l="0" t="0" r="12065" b="2540"/>
                  <wp:docPr id="5" name="图片 5" descr="C:/Users/hb/AppData/Local/Temp/picturecompress_2021101415555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hb/AppData/Local/Temp/picturecompress_20211014155550/output_1.jpgoutput_1"/>
                          <pic:cNvPicPr>
                            <a:picLocks noChangeAspect="1"/>
                          </pic:cNvPicPr>
                        </pic:nvPicPr>
                        <pic:blipFill>
                          <a:blip r:embed="rId6"/>
                          <a:stretch>
                            <a:fillRect/>
                          </a:stretch>
                        </pic:blipFill>
                        <pic:spPr>
                          <a:xfrm>
                            <a:off x="0" y="0"/>
                            <a:ext cx="5652135" cy="2054860"/>
                          </a:xfrm>
                          <a:prstGeom prst="rect">
                            <a:avLst/>
                          </a:prstGeom>
                        </pic:spPr>
                      </pic:pic>
                    </a:graphicData>
                  </a:graphic>
                </wp:inline>
              </w:drawing>
            </w:r>
          </w:p>
          <w:p>
            <w:pPr>
              <w:spacing w:line="280" w:lineRule="exact"/>
              <w:ind w:firstLine="420" w:firstLineChars="200"/>
              <w:rPr>
                <w:szCs w:val="21"/>
              </w:rPr>
            </w:pPr>
            <w:r>
              <w:rPr>
                <w:rFonts w:hint="eastAsia"/>
                <w:szCs w:val="21"/>
              </w:rPr>
              <w:t>销售部活动识别的危险源未纳入公司制定的不可接受危险源控制范围内。</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2122" w:type="dxa"/>
          </w:tcPr>
          <w:p>
            <w:pPr>
              <w:spacing w:line="280" w:lineRule="exact"/>
              <w:rPr>
                <w:rFonts w:ascii="宋体" w:hAnsi="宋体" w:cs="宋体"/>
                <w:szCs w:val="21"/>
              </w:rPr>
            </w:pPr>
            <w:r>
              <w:rPr>
                <w:rFonts w:hint="eastAsia" w:ascii="宋体" w:hAnsi="宋体" w:cs="宋体"/>
                <w:szCs w:val="21"/>
              </w:rPr>
              <w:t>管理目标及其实现的策划</w:t>
            </w:r>
          </w:p>
          <w:p>
            <w:pPr>
              <w:spacing w:line="280" w:lineRule="exact"/>
              <w:rPr>
                <w:rFonts w:ascii="宋体" w:hAnsi="宋体" w:cs="宋体"/>
                <w:szCs w:val="21"/>
              </w:rPr>
            </w:pPr>
          </w:p>
        </w:tc>
        <w:tc>
          <w:tcPr>
            <w:tcW w:w="998" w:type="dxa"/>
          </w:tcPr>
          <w:p>
            <w:pPr>
              <w:spacing w:line="280" w:lineRule="exact"/>
              <w:rPr>
                <w:szCs w:val="21"/>
              </w:rPr>
            </w:pPr>
            <w:r>
              <w:rPr>
                <w:rFonts w:hint="eastAsia"/>
                <w:szCs w:val="21"/>
              </w:rPr>
              <w:t>Q6.2</w:t>
            </w:r>
          </w:p>
          <w:p>
            <w:pPr>
              <w:spacing w:line="280" w:lineRule="exact"/>
              <w:rPr>
                <w:szCs w:val="21"/>
              </w:rPr>
            </w:pPr>
            <w:r>
              <w:rPr>
                <w:szCs w:val="21"/>
              </w:rPr>
              <w:t>O</w:t>
            </w:r>
            <w:r>
              <w:rPr>
                <w:rFonts w:hint="eastAsia"/>
                <w:szCs w:val="21"/>
              </w:rPr>
              <w:t>6.2.1</w:t>
            </w:r>
          </w:p>
        </w:tc>
        <w:tc>
          <w:tcPr>
            <w:tcW w:w="10004" w:type="dxa"/>
            <w:vAlign w:val="center"/>
          </w:tcPr>
          <w:p>
            <w:pPr>
              <w:spacing w:line="280" w:lineRule="exact"/>
              <w:ind w:firstLine="420" w:firstLineChars="200"/>
              <w:rPr>
                <w:rFonts w:ascii="宋体" w:hAnsi="宋体" w:cs="宋体"/>
                <w:szCs w:val="21"/>
              </w:rPr>
            </w:pPr>
            <w:r>
              <w:rPr>
                <w:rFonts w:hint="eastAsia" w:ascii="宋体" w:hAnsi="宋体" w:cs="宋体"/>
                <w:szCs w:val="21"/>
              </w:rPr>
              <w:t>公司对管理体系所需的相关职能、层次和过程设定管理目标。</w:t>
            </w:r>
          </w:p>
          <w:p>
            <w:pPr>
              <w:ind w:firstLine="420" w:firstLineChars="200"/>
              <w:rPr>
                <w:rFonts w:ascii="宋体" w:hAnsi="宋体" w:cs="宋体"/>
                <w:szCs w:val="21"/>
              </w:rPr>
            </w:pPr>
            <w:r>
              <w:rPr>
                <w:rFonts w:hint="eastAsia" w:ascii="宋体" w:hAnsi="宋体" w:cs="宋体"/>
                <w:szCs w:val="21"/>
              </w:rPr>
              <w:t>销售部涉及的目标及实现情况是：</w:t>
            </w:r>
          </w:p>
          <w:p>
            <w:pPr>
              <w:numPr>
                <w:ilvl w:val="0"/>
                <w:numId w:val="1"/>
              </w:numPr>
              <w:ind w:firstLine="420" w:firstLineChars="200"/>
              <w:rPr>
                <w:rFonts w:hint="eastAsia" w:ascii="宋体" w:hAnsi="宋体" w:cs="宋体"/>
                <w:szCs w:val="21"/>
              </w:rPr>
            </w:pPr>
            <w:r>
              <w:rPr>
                <w:rFonts w:hint="eastAsia" w:ascii="宋体" w:hAnsi="宋体" w:cs="宋体"/>
                <w:szCs w:val="21"/>
                <w:lang w:val="en-US" w:eastAsia="zh-CN"/>
              </w:rPr>
              <w:t>发生人员重大伤亡事故为零</w:t>
            </w:r>
            <w:r>
              <w:rPr>
                <w:rFonts w:hint="eastAsia" w:ascii="宋体" w:hAnsi="宋体" w:cs="宋体"/>
                <w:szCs w:val="21"/>
              </w:rPr>
              <w:t>；2）</w:t>
            </w:r>
            <w:r>
              <w:rPr>
                <w:rFonts w:hint="eastAsia" w:ascii="宋体" w:hAnsi="宋体" w:cs="宋体"/>
                <w:szCs w:val="21"/>
                <w:lang w:val="en-US" w:eastAsia="zh-CN"/>
              </w:rPr>
              <w:t>发生火灾爆炸事故为0</w:t>
            </w:r>
            <w:r>
              <w:rPr>
                <w:rFonts w:hint="eastAsia" w:ascii="宋体" w:hAnsi="宋体" w:cs="宋体"/>
                <w:szCs w:val="21"/>
              </w:rPr>
              <w:t>；3）职业病发生率0；</w:t>
            </w:r>
          </w:p>
          <w:p>
            <w:pPr>
              <w:numPr>
                <w:numId w:val="0"/>
              </w:numPr>
              <w:ind w:firstLine="630" w:firstLineChars="300"/>
              <w:rPr>
                <w:rFonts w:ascii="宋体" w:hAnsi="宋体" w:cs="宋体"/>
                <w:szCs w:val="21"/>
              </w:rPr>
            </w:pPr>
            <w:r>
              <w:rPr>
                <w:rFonts w:hint="eastAsia" w:ascii="宋体" w:hAnsi="宋体" w:cs="宋体"/>
                <w:szCs w:val="21"/>
              </w:rPr>
              <w:t>目标可测量，与公司管理方针一致。有实施落实的方案， 根据</w:t>
            </w:r>
            <w:r>
              <w:rPr>
                <w:rFonts w:hint="eastAsia" w:ascii="宋体" w:hAnsi="宋体" w:cs="宋体"/>
                <w:szCs w:val="21"/>
                <w:lang w:val="en-US" w:eastAsia="zh-CN"/>
              </w:rPr>
              <w:t>9</w:t>
            </w:r>
            <w:r>
              <w:rPr>
                <w:rFonts w:hint="eastAsia" w:ascii="宋体" w:hAnsi="宋体" w:cs="宋体"/>
                <w:szCs w:val="21"/>
              </w:rPr>
              <w:t>月30日统计结果，目标均已完成。</w:t>
            </w:r>
          </w:p>
          <w:p>
            <w:pPr>
              <w:ind w:firstLine="420" w:firstLineChars="200"/>
              <w:rPr>
                <w:rFonts w:ascii="宋体" w:hAnsi="宋体" w:cs="宋体"/>
                <w:szCs w:val="21"/>
              </w:rPr>
            </w:pP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2122" w:type="dxa"/>
          </w:tcPr>
          <w:p>
            <w:pPr>
              <w:spacing w:line="280" w:lineRule="exact"/>
              <w:rPr>
                <w:rFonts w:ascii="宋体" w:hAnsi="宋体" w:cs="宋体"/>
                <w:szCs w:val="21"/>
              </w:rPr>
            </w:pPr>
            <w:r>
              <w:rPr>
                <w:rFonts w:hint="eastAsia" w:ascii="宋体" w:hAnsi="宋体" w:cs="宋体"/>
                <w:szCs w:val="21"/>
              </w:rPr>
              <w:t>职业健康安全目标实现措施策划</w:t>
            </w:r>
          </w:p>
        </w:tc>
        <w:tc>
          <w:tcPr>
            <w:tcW w:w="998" w:type="dxa"/>
          </w:tcPr>
          <w:p>
            <w:pPr>
              <w:spacing w:line="280" w:lineRule="exact"/>
              <w:rPr>
                <w:szCs w:val="21"/>
              </w:rPr>
            </w:pPr>
            <w:r>
              <w:rPr>
                <w:rFonts w:hint="eastAsia"/>
                <w:szCs w:val="21"/>
              </w:rPr>
              <w:t>6.2.2</w:t>
            </w:r>
          </w:p>
        </w:tc>
        <w:tc>
          <w:tcPr>
            <w:tcW w:w="10004" w:type="dxa"/>
            <w:vAlign w:val="center"/>
          </w:tcPr>
          <w:p>
            <w:pPr>
              <w:ind w:firstLine="420" w:firstLineChars="200"/>
              <w:rPr>
                <w:rFonts w:ascii="宋体" w:hAnsi="宋体" w:cs="宋体"/>
                <w:szCs w:val="21"/>
              </w:rPr>
            </w:pPr>
            <w:r>
              <w:rPr>
                <w:rFonts w:hint="eastAsia"/>
                <w:szCs w:val="21"/>
              </w:rPr>
              <w:t>按</w:t>
            </w:r>
            <w:r>
              <w:rPr>
                <w:rFonts w:hint="eastAsia" w:ascii="宋体" w:hAnsi="宋体" w:cs="宋体"/>
                <w:szCs w:val="21"/>
              </w:rPr>
              <w:t>《危险源辨识与风险评价控制措施管理程序》</w:t>
            </w:r>
            <w:r>
              <w:rPr>
                <w:rFonts w:hint="eastAsia"/>
                <w:szCs w:val="21"/>
              </w:rPr>
              <w:t>识别的重要因素和重大危险制定管理措施，制定</w:t>
            </w:r>
            <w:r>
              <w:rPr>
                <w:rFonts w:hint="eastAsia" w:ascii="宋体" w:hAnsi="宋体" w:cs="宋体"/>
                <w:szCs w:val="21"/>
              </w:rPr>
              <w:t>《对相关方施加影响管理程序》等文件；由销售部统一管理。基本不涉及重大法规要求的不可接受的和安全风险。</w:t>
            </w:r>
          </w:p>
          <w:p>
            <w:pPr>
              <w:ind w:firstLine="420" w:firstLineChars="200"/>
              <w:rPr>
                <w:rFonts w:ascii="宋体" w:hAnsi="宋体" w:cs="宋体"/>
                <w:szCs w:val="21"/>
              </w:rPr>
            </w:pP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2122" w:type="dxa"/>
          </w:tcPr>
          <w:p>
            <w:pPr>
              <w:spacing w:line="280" w:lineRule="exact"/>
              <w:rPr>
                <w:b/>
                <w:szCs w:val="21"/>
              </w:rPr>
            </w:pPr>
            <w:r>
              <w:rPr>
                <w:rFonts w:hint="eastAsia" w:ascii="宋体" w:hAnsi="宋体" w:cs="宋体"/>
                <w:szCs w:val="21"/>
              </w:rPr>
              <w:t>应急响应和准备</w:t>
            </w:r>
          </w:p>
        </w:tc>
        <w:tc>
          <w:tcPr>
            <w:tcW w:w="998" w:type="dxa"/>
          </w:tcPr>
          <w:p>
            <w:pPr>
              <w:spacing w:line="280" w:lineRule="exact"/>
              <w:rPr>
                <w:szCs w:val="21"/>
              </w:rPr>
            </w:pPr>
            <w:r>
              <w:rPr>
                <w:szCs w:val="21"/>
              </w:rPr>
              <w:t>O</w:t>
            </w:r>
            <w:r>
              <w:rPr>
                <w:rFonts w:hint="eastAsia"/>
                <w:szCs w:val="21"/>
              </w:rPr>
              <w:t>8.2</w:t>
            </w:r>
          </w:p>
        </w:tc>
        <w:tc>
          <w:tcPr>
            <w:tcW w:w="10004" w:type="dxa"/>
            <w:vAlign w:val="center"/>
          </w:tcPr>
          <w:p>
            <w:pPr>
              <w:pStyle w:val="12"/>
              <w:spacing w:line="280" w:lineRule="exact"/>
              <w:rPr>
                <w:sz w:val="21"/>
                <w:szCs w:val="21"/>
              </w:rPr>
            </w:pPr>
            <w:r>
              <w:rPr>
                <w:rFonts w:hint="eastAsia"/>
                <w:sz w:val="21"/>
                <w:szCs w:val="21"/>
              </w:rPr>
              <w:t>编制了《应急准备和响应</w:t>
            </w:r>
            <w:r>
              <w:rPr>
                <w:rFonts w:hint="eastAsia"/>
                <w:sz w:val="21"/>
                <w:szCs w:val="21"/>
                <w:lang w:val="en-US" w:eastAsia="zh-CN"/>
              </w:rPr>
              <w:t>控制</w:t>
            </w:r>
            <w:r>
              <w:rPr>
                <w:rFonts w:hint="eastAsia"/>
                <w:sz w:val="21"/>
                <w:szCs w:val="21"/>
              </w:rPr>
              <w:t>程序</w:t>
            </w:r>
            <w:r>
              <w:rPr>
                <w:rFonts w:hint="eastAsia"/>
                <w:sz w:val="21"/>
                <w:szCs w:val="21"/>
                <w:lang w:val="en-US" w:eastAsia="zh-CN"/>
              </w:rPr>
              <w:t>CX/GES-20-2020</w:t>
            </w:r>
            <w:r>
              <w:rPr>
                <w:rFonts w:hint="eastAsia"/>
                <w:sz w:val="21"/>
                <w:szCs w:val="21"/>
              </w:rPr>
              <w:t>》，查看内容基本符合要求。</w:t>
            </w:r>
          </w:p>
          <w:p>
            <w:pPr>
              <w:pStyle w:val="12"/>
              <w:spacing w:line="280" w:lineRule="exact"/>
              <w:ind w:firstLineChars="0"/>
              <w:rPr>
                <w:sz w:val="21"/>
                <w:szCs w:val="21"/>
              </w:rPr>
            </w:pPr>
            <w:r>
              <w:rPr>
                <w:rFonts w:hint="eastAsia"/>
                <w:sz w:val="21"/>
                <w:szCs w:val="21"/>
              </w:rPr>
              <w:t>策划了应急预案包括触电、火灾、中暑等应急预案。</w:t>
            </w:r>
          </w:p>
          <w:p>
            <w:pPr>
              <w:pStyle w:val="12"/>
              <w:spacing w:line="240" w:lineRule="auto"/>
              <w:ind w:firstLineChars="0"/>
              <w:rPr>
                <w:rFonts w:hint="eastAsia" w:eastAsia="宋体"/>
                <w:sz w:val="21"/>
                <w:szCs w:val="21"/>
                <w:lang w:eastAsia="zh-CN"/>
              </w:rPr>
            </w:pPr>
            <w:r>
              <w:rPr>
                <w:rFonts w:hint="eastAsia"/>
                <w:sz w:val="21"/>
                <w:szCs w:val="21"/>
              </w:rPr>
              <w:t>查应急预案评估报告，通过以上评估，公司应急预案的制定基本合理。</w:t>
            </w:r>
            <w:bookmarkStart w:id="0" w:name="_GoBack"/>
            <w:r>
              <w:rPr>
                <w:rFonts w:hint="eastAsia" w:eastAsia="宋体"/>
                <w:sz w:val="21"/>
                <w:szCs w:val="21"/>
                <w:lang w:eastAsia="zh-CN"/>
              </w:rPr>
              <w:drawing>
                <wp:inline distT="0" distB="0" distL="114300" distR="114300">
                  <wp:extent cx="6209030" cy="2807970"/>
                  <wp:effectExtent l="0" t="0" r="1270" b="11430"/>
                  <wp:docPr id="3" name="图片 3" descr="微信图片_2021101414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11014145532"/>
                          <pic:cNvPicPr>
                            <a:picLocks noChangeAspect="1"/>
                          </pic:cNvPicPr>
                        </pic:nvPicPr>
                        <pic:blipFill>
                          <a:blip r:embed="rId7"/>
                          <a:stretch>
                            <a:fillRect/>
                          </a:stretch>
                        </pic:blipFill>
                        <pic:spPr>
                          <a:xfrm>
                            <a:off x="0" y="0"/>
                            <a:ext cx="6209030" cy="2807970"/>
                          </a:xfrm>
                          <a:prstGeom prst="rect">
                            <a:avLst/>
                          </a:prstGeom>
                        </pic:spPr>
                      </pic:pic>
                    </a:graphicData>
                  </a:graphic>
                </wp:inline>
              </w:drawing>
            </w:r>
            <w:bookmarkEnd w:id="0"/>
          </w:p>
          <w:p>
            <w:pPr>
              <w:spacing w:line="280" w:lineRule="exact"/>
              <w:ind w:firstLine="420" w:firstLineChars="200"/>
              <w:rPr>
                <w:rFonts w:ascii="Calibri" w:hAnsi="Calibri"/>
                <w:szCs w:val="21"/>
              </w:rPr>
            </w:pPr>
            <w:r>
              <w:rPr>
                <w:rFonts w:hint="eastAsia"/>
                <w:szCs w:val="21"/>
              </w:rPr>
              <w:t>销售部</w:t>
            </w:r>
            <w:r>
              <w:rPr>
                <w:rFonts w:hint="eastAsia"/>
                <w:szCs w:val="21"/>
                <w:lang w:val="en-US" w:eastAsia="zh-CN"/>
              </w:rPr>
              <w:t>2021年6月24日</w:t>
            </w:r>
            <w:r>
              <w:rPr>
                <w:rFonts w:hint="eastAsia"/>
                <w:szCs w:val="21"/>
              </w:rPr>
              <w:t>参加公司举行的消防灭火演练和医疗急救演练，查</w:t>
            </w:r>
            <w:r>
              <w:rPr>
                <w:rFonts w:hint="eastAsia" w:ascii="Calibri" w:hAnsi="Calibri"/>
                <w:szCs w:val="21"/>
              </w:rPr>
              <w:t>应急演练记录。</w:t>
            </w:r>
          </w:p>
          <w:p>
            <w:pPr>
              <w:spacing w:line="280" w:lineRule="exact"/>
              <w:ind w:firstLine="420" w:firstLineChars="200"/>
              <w:rPr>
                <w:rFonts w:ascii="Calibri" w:hAnsi="Calibri"/>
                <w:szCs w:val="21"/>
              </w:rPr>
            </w:pPr>
            <w:r>
              <w:rPr>
                <w:rFonts w:hint="eastAsia"/>
                <w:szCs w:val="21"/>
              </w:rPr>
              <w:t>查消防灭火演练，地点厂区前空地，对演练过程进行了描述，由办公室统一对预案的有效性进行了评价。目前未发生火灾、人身伤害等事故。</w:t>
            </w:r>
          </w:p>
        </w:tc>
        <w:tc>
          <w:tcPr>
            <w:tcW w:w="1585" w:type="dxa"/>
          </w:tcPr>
          <w:p/>
        </w:tc>
      </w:tr>
    </w:tbl>
    <w:p>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w:panose1 w:val="020B0604020202020204"/>
    <w:charset w:val="00"/>
    <w:family w:val="swiss"/>
    <w:pitch w:val="default"/>
    <w:sig w:usb0="E0002EFF" w:usb1="C000785B" w:usb2="00000009" w:usb3="00000000" w:csb0="400001FF" w:csb1="FFFF0000"/>
  </w:font>
  <w:font w:name="方正楷体简体">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3"/>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w:t>
            </w:r>
            <w:r>
              <w:rPr>
                <w:b/>
                <w:sz w:val="24"/>
                <w:szCs w:val="24"/>
              </w:rPr>
              <w:fldChar w:fldCharType="end"/>
            </w:r>
          </w:p>
        </w:sdtContent>
      </w:sdt>
    </w:sdtContent>
  </w:sdt>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8910"/>
        <w:tab w:val="left" w:pos="9142"/>
        <w:tab w:val="clear" w:pos="4153"/>
      </w:tabs>
      <w:spacing w:line="320" w:lineRule="exact"/>
      <w:ind w:left="-86" w:leftChars="-41" w:firstLine="810" w:firstLineChars="450"/>
      <w:jc w:val="left"/>
      <w:rPr>
        <w:rStyle w:val="10"/>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0"/>
        <w:rFonts w:hint="default"/>
      </w:rPr>
      <w:t>北京国标联合认证有限公司</w:t>
    </w:r>
    <w:r>
      <w:rPr>
        <w:rStyle w:val="10"/>
        <w:rFonts w:hint="default"/>
      </w:rPr>
      <w:tab/>
    </w:r>
    <w:r>
      <w:rPr>
        <w:rStyle w:val="10"/>
        <w:rFonts w:hint="default"/>
      </w:rPr>
      <w:tab/>
    </w:r>
    <w:r>
      <w:rPr>
        <w:rStyle w:val="10"/>
        <w:rFonts w:hint="default"/>
      </w:rPr>
      <w:tab/>
    </w:r>
  </w:p>
  <w:p>
    <w:pPr>
      <w:pStyle w:val="4"/>
      <w:pBdr>
        <w:bottom w:val="none" w:color="auto" w:sz="0" w:space="0"/>
      </w:pBdr>
      <w:spacing w:line="320" w:lineRule="exact"/>
      <w:jc w:val="left"/>
    </w:pPr>
    <w:r>
      <mc:AlternateContent>
        <mc:Choice Requires="wps">
          <w:drawing>
            <wp:anchor distT="0" distB="0" distL="114300" distR="114300" simplePos="0" relativeHeight="251659264" behindDoc="0" locked="0" layoutInCell="1" allowOverlap="1">
              <wp:simplePos x="0" y="0"/>
              <wp:positionH relativeFrom="column">
                <wp:posOffset>7045325</wp:posOffset>
              </wp:positionH>
              <wp:positionV relativeFrom="paragraph">
                <wp:posOffset>27940</wp:posOffset>
              </wp:positionV>
              <wp:extent cx="2184400" cy="256540"/>
              <wp:effectExtent l="0" t="0" r="0" b="1270"/>
              <wp:wrapNone/>
              <wp:docPr id="2"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184400" cy="256540"/>
                      </a:xfrm>
                      <a:prstGeom prst="rect">
                        <a:avLst/>
                      </a:prstGeom>
                      <a:solidFill>
                        <a:srgbClr val="FFFFFF"/>
                      </a:solidFill>
                      <a:ln>
                        <a:noFill/>
                      </a:ln>
                    </wps:spPr>
                    <wps:txb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wps:txbx>
                    <wps:bodyPr rot="0" vert="horz" wrap="square" lIns="91440" tIns="45720" rIns="91440" bIns="45720" anchor="t" anchorCtr="0" upright="1">
                      <a:noAutofit/>
                    </wps:bodyPr>
                  </wps:wsp>
                </a:graphicData>
              </a:graphic>
            </wp:anchor>
          </w:drawing>
        </mc:Choice>
        <mc:Fallback>
          <w:pict>
            <v:shape id="文本框 1" o:spid="_x0000_s1026" o:spt="202" type="#_x0000_t202" style="position:absolute;left:0pt;margin-left:554.75pt;margin-top:2.2pt;height:20.2pt;width:172pt;z-index:251659264;mso-width-relative:page;mso-height-relative:page;" fillcolor="#FFFFFF" filled="t" stroked="f" coordsize="21600,21600"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IQaq5dYAAAAKAQAADwAAAAAAAAABACAAAAAiAAAAZHJzL2Rvd25yZXYueG1sUEsBAhQAFAAA&#10;AAgAh07iQNRv0G8qAgAAPgQAAA4AAAAAAAAAAQAgAAAAJQEAAGRycy9lMm9Eb2MueG1sUEsFBgAA&#10;AAAGAAYAWQEAAMEFAAAAAA==&#10;">
              <v:fill on="t" focussize="0,0"/>
              <v:stroke on="f"/>
              <v:imagedata o:title=""/>
              <o:lock v:ext="edit" aspectratio="f"/>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mc:Fallback>
      </mc:AlternateContent>
    </w:r>
    <w:r>
      <w:rPr>
        <w:rStyle w:val="10"/>
        <w:rFonts w:hint="default"/>
        <w:w w:val="90"/>
      </w:rPr>
      <w:t>Bijing Intrnational Standard unitd Crtification Co.,Ltd.</w:t>
    </w:r>
  </w:p>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8E2E94"/>
    <w:multiLevelType w:val="singleLevel"/>
    <w:tmpl w:val="E18E2E94"/>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B16"/>
    <w:rsid w:val="00006A83"/>
    <w:rsid w:val="00011A1F"/>
    <w:rsid w:val="00011ABE"/>
    <w:rsid w:val="00076C21"/>
    <w:rsid w:val="00077C88"/>
    <w:rsid w:val="000A75BA"/>
    <w:rsid w:val="000B0CD5"/>
    <w:rsid w:val="000B6409"/>
    <w:rsid w:val="000F14E3"/>
    <w:rsid w:val="00115E0C"/>
    <w:rsid w:val="00121BF2"/>
    <w:rsid w:val="001311B9"/>
    <w:rsid w:val="00133E72"/>
    <w:rsid w:val="00140940"/>
    <w:rsid w:val="00140A69"/>
    <w:rsid w:val="0016036E"/>
    <w:rsid w:val="001937C7"/>
    <w:rsid w:val="001945D7"/>
    <w:rsid w:val="001A05B6"/>
    <w:rsid w:val="001A3B63"/>
    <w:rsid w:val="001C57A3"/>
    <w:rsid w:val="001E48ED"/>
    <w:rsid w:val="001F0E7B"/>
    <w:rsid w:val="00215D59"/>
    <w:rsid w:val="002533F4"/>
    <w:rsid w:val="00271E4E"/>
    <w:rsid w:val="00273847"/>
    <w:rsid w:val="002871F4"/>
    <w:rsid w:val="00287457"/>
    <w:rsid w:val="002B36EC"/>
    <w:rsid w:val="002C22A6"/>
    <w:rsid w:val="002C734F"/>
    <w:rsid w:val="002E29A0"/>
    <w:rsid w:val="002E55EA"/>
    <w:rsid w:val="002F05BD"/>
    <w:rsid w:val="003015FB"/>
    <w:rsid w:val="003273C2"/>
    <w:rsid w:val="003445A0"/>
    <w:rsid w:val="003541E0"/>
    <w:rsid w:val="00364D71"/>
    <w:rsid w:val="00382525"/>
    <w:rsid w:val="00384FEF"/>
    <w:rsid w:val="00397D3F"/>
    <w:rsid w:val="003C12BB"/>
    <w:rsid w:val="003C254E"/>
    <w:rsid w:val="003E434A"/>
    <w:rsid w:val="0042030E"/>
    <w:rsid w:val="0043712F"/>
    <w:rsid w:val="004450A7"/>
    <w:rsid w:val="0047490C"/>
    <w:rsid w:val="004819AB"/>
    <w:rsid w:val="00497971"/>
    <w:rsid w:val="004B20B2"/>
    <w:rsid w:val="004D14C1"/>
    <w:rsid w:val="004D6FC5"/>
    <w:rsid w:val="004E6448"/>
    <w:rsid w:val="004E7665"/>
    <w:rsid w:val="004F4E79"/>
    <w:rsid w:val="00503F34"/>
    <w:rsid w:val="005074C4"/>
    <w:rsid w:val="00507E17"/>
    <w:rsid w:val="00516205"/>
    <w:rsid w:val="00532DE5"/>
    <w:rsid w:val="00551E35"/>
    <w:rsid w:val="0056074B"/>
    <w:rsid w:val="00567182"/>
    <w:rsid w:val="005A2330"/>
    <w:rsid w:val="005A23B2"/>
    <w:rsid w:val="005B6C34"/>
    <w:rsid w:val="005D1EE9"/>
    <w:rsid w:val="005D2531"/>
    <w:rsid w:val="00621EA2"/>
    <w:rsid w:val="006256EF"/>
    <w:rsid w:val="00646303"/>
    <w:rsid w:val="0066353B"/>
    <w:rsid w:val="00663A52"/>
    <w:rsid w:val="00672093"/>
    <w:rsid w:val="00672CC5"/>
    <w:rsid w:val="00680222"/>
    <w:rsid w:val="006842EC"/>
    <w:rsid w:val="006E4E1C"/>
    <w:rsid w:val="006F2650"/>
    <w:rsid w:val="006F2C8A"/>
    <w:rsid w:val="00713961"/>
    <w:rsid w:val="00715292"/>
    <w:rsid w:val="007469D5"/>
    <w:rsid w:val="0075560B"/>
    <w:rsid w:val="00756C63"/>
    <w:rsid w:val="00761387"/>
    <w:rsid w:val="00774749"/>
    <w:rsid w:val="00777827"/>
    <w:rsid w:val="007861D2"/>
    <w:rsid w:val="007B4035"/>
    <w:rsid w:val="007B4E33"/>
    <w:rsid w:val="007C5A7D"/>
    <w:rsid w:val="007C6A31"/>
    <w:rsid w:val="007E6050"/>
    <w:rsid w:val="00814B16"/>
    <w:rsid w:val="008242EA"/>
    <w:rsid w:val="008265BB"/>
    <w:rsid w:val="00834CE8"/>
    <w:rsid w:val="0085042B"/>
    <w:rsid w:val="00860763"/>
    <w:rsid w:val="008631F9"/>
    <w:rsid w:val="008667F0"/>
    <w:rsid w:val="008A1509"/>
    <w:rsid w:val="008B3B2F"/>
    <w:rsid w:val="008C01A2"/>
    <w:rsid w:val="008D2E87"/>
    <w:rsid w:val="008D3475"/>
    <w:rsid w:val="00915119"/>
    <w:rsid w:val="0092791F"/>
    <w:rsid w:val="00954D65"/>
    <w:rsid w:val="00955C0E"/>
    <w:rsid w:val="00976860"/>
    <w:rsid w:val="00991AEB"/>
    <w:rsid w:val="009977CF"/>
    <w:rsid w:val="009B1072"/>
    <w:rsid w:val="00A01526"/>
    <w:rsid w:val="00A30F85"/>
    <w:rsid w:val="00A52229"/>
    <w:rsid w:val="00A76F84"/>
    <w:rsid w:val="00A86196"/>
    <w:rsid w:val="00A94706"/>
    <w:rsid w:val="00AB5CFD"/>
    <w:rsid w:val="00AE6698"/>
    <w:rsid w:val="00B007F3"/>
    <w:rsid w:val="00B03AA7"/>
    <w:rsid w:val="00B119B7"/>
    <w:rsid w:val="00B361C1"/>
    <w:rsid w:val="00B531A8"/>
    <w:rsid w:val="00B53B05"/>
    <w:rsid w:val="00B6507C"/>
    <w:rsid w:val="00BC0A8A"/>
    <w:rsid w:val="00BF2BFE"/>
    <w:rsid w:val="00C277AC"/>
    <w:rsid w:val="00C41F32"/>
    <w:rsid w:val="00C4272D"/>
    <w:rsid w:val="00C44388"/>
    <w:rsid w:val="00C53433"/>
    <w:rsid w:val="00C60EB8"/>
    <w:rsid w:val="00C64385"/>
    <w:rsid w:val="00C827AA"/>
    <w:rsid w:val="00C856E9"/>
    <w:rsid w:val="00C94573"/>
    <w:rsid w:val="00CA1BE3"/>
    <w:rsid w:val="00CD1E5C"/>
    <w:rsid w:val="00CD4ED7"/>
    <w:rsid w:val="00CD58BC"/>
    <w:rsid w:val="00D05DB2"/>
    <w:rsid w:val="00D3466A"/>
    <w:rsid w:val="00D6037A"/>
    <w:rsid w:val="00D937E0"/>
    <w:rsid w:val="00DE1A2C"/>
    <w:rsid w:val="00DE2FCE"/>
    <w:rsid w:val="00DF19AB"/>
    <w:rsid w:val="00E0114F"/>
    <w:rsid w:val="00E11BD3"/>
    <w:rsid w:val="00E17655"/>
    <w:rsid w:val="00E219A3"/>
    <w:rsid w:val="00E41911"/>
    <w:rsid w:val="00E53DF0"/>
    <w:rsid w:val="00E556FE"/>
    <w:rsid w:val="00E701A1"/>
    <w:rsid w:val="00E707CA"/>
    <w:rsid w:val="00E944DC"/>
    <w:rsid w:val="00E97654"/>
    <w:rsid w:val="00EA2EA2"/>
    <w:rsid w:val="00EB1A5C"/>
    <w:rsid w:val="00EB6AAC"/>
    <w:rsid w:val="00EC3C4C"/>
    <w:rsid w:val="00ED41DC"/>
    <w:rsid w:val="00EF78EA"/>
    <w:rsid w:val="00F000A1"/>
    <w:rsid w:val="00F01F3E"/>
    <w:rsid w:val="00F05246"/>
    <w:rsid w:val="00F058E6"/>
    <w:rsid w:val="00F11424"/>
    <w:rsid w:val="00F13731"/>
    <w:rsid w:val="00F43CC1"/>
    <w:rsid w:val="00F5455B"/>
    <w:rsid w:val="00F62C59"/>
    <w:rsid w:val="00FB5026"/>
    <w:rsid w:val="00FB6FAA"/>
    <w:rsid w:val="00FF0A51"/>
    <w:rsid w:val="00FF1D21"/>
    <w:rsid w:val="04FD67D8"/>
    <w:rsid w:val="0A755CD1"/>
    <w:rsid w:val="0D0C5678"/>
    <w:rsid w:val="0FFC101B"/>
    <w:rsid w:val="11B844E6"/>
    <w:rsid w:val="1D9A2850"/>
    <w:rsid w:val="2040422A"/>
    <w:rsid w:val="233E7107"/>
    <w:rsid w:val="41756FF7"/>
    <w:rsid w:val="41FA7D1A"/>
    <w:rsid w:val="43F34393"/>
    <w:rsid w:val="4D9008C5"/>
    <w:rsid w:val="4DED56EF"/>
    <w:rsid w:val="4DF42216"/>
    <w:rsid w:val="50964725"/>
    <w:rsid w:val="528B42FD"/>
    <w:rsid w:val="5C894199"/>
    <w:rsid w:val="674154A3"/>
    <w:rsid w:val="70B50E46"/>
    <w:rsid w:val="747D06DB"/>
    <w:rsid w:val="75B86B30"/>
    <w:rsid w:val="78214DF5"/>
    <w:rsid w:val="7D7A676B"/>
    <w:rsid w:val="7D8964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uiPriority w:val="99"/>
    <w:rPr>
      <w:rFonts w:ascii="Times New Roman" w:hAnsi="Times New Roman" w:eastAsia="宋体" w:cs="Times New Roman"/>
      <w:sz w:val="18"/>
      <w:szCs w:val="18"/>
    </w:rPr>
  </w:style>
  <w:style w:type="character" w:customStyle="1" w:styleId="8">
    <w:name w:val="页脚 Char"/>
    <w:basedOn w:val="6"/>
    <w:link w:val="3"/>
    <w:qFormat/>
    <w:uiPriority w:val="99"/>
    <w:rPr>
      <w:rFonts w:ascii="Times New Roman" w:hAnsi="Times New Roman" w:eastAsia="宋体" w:cs="Times New Roman"/>
      <w:sz w:val="18"/>
      <w:szCs w:val="18"/>
    </w:rPr>
  </w:style>
  <w:style w:type="character" w:customStyle="1" w:styleId="9">
    <w:name w:val="批注框文本 Char"/>
    <w:basedOn w:val="6"/>
    <w:link w:val="2"/>
    <w:semiHidden/>
    <w:qFormat/>
    <w:uiPriority w:val="99"/>
    <w:rPr>
      <w:rFonts w:ascii="Times New Roman" w:hAnsi="Times New Roman" w:eastAsia="宋体" w:cs="Times New Roman"/>
      <w:sz w:val="18"/>
      <w:szCs w:val="18"/>
    </w:rPr>
  </w:style>
  <w:style w:type="character" w:customStyle="1" w:styleId="10">
    <w:name w:val="Char Char1"/>
    <w:qFormat/>
    <w:locked/>
    <w:uiPriority w:val="0"/>
    <w:rPr>
      <w:rFonts w:hint="eastAsia" w:ascii="宋体" w:hAnsi="Courier New" w:eastAsia="宋体"/>
      <w:kern w:val="2"/>
      <w:sz w:val="21"/>
      <w:lang w:val="en-US" w:eastAsia="zh-CN" w:bidi="ar-SA"/>
    </w:rPr>
  </w:style>
  <w:style w:type="paragraph" w:customStyle="1" w:styleId="11">
    <w:name w:val="Char"/>
    <w:basedOn w:val="1"/>
    <w:qFormat/>
    <w:uiPriority w:val="0"/>
    <w:rPr>
      <w:rFonts w:ascii="仿宋_GB2312" w:eastAsia="仿宋_GB2312"/>
      <w:b/>
      <w:sz w:val="32"/>
      <w:szCs w:val="32"/>
    </w:rPr>
  </w:style>
  <w:style w:type="paragraph" w:customStyle="1" w:styleId="12">
    <w:name w:val="_Style 2"/>
    <w:basedOn w:val="1"/>
    <w:qFormat/>
    <w:uiPriority w:val="34"/>
    <w:pPr>
      <w:ind w:firstLine="420" w:firstLineChars="200"/>
    </w:pPr>
    <w:rPr>
      <w:rFonts w:ascii="Calibri" w:hAnsi="Calibri"/>
      <w:sz w:val="24"/>
      <w:szCs w:val="22"/>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248</Words>
  <Characters>1419</Characters>
  <Lines>11</Lines>
  <Paragraphs>3</Paragraphs>
  <TotalTime>2</TotalTime>
  <ScaleCrop>false</ScaleCrop>
  <LinksUpToDate>false</LinksUpToDate>
  <CharactersWithSpaces>1664</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2020-04-19T05:25:00Z</dcterms:created>
  <dc:creator>微软用户</dc:creator>
  <cp:lastModifiedBy>hb</cp:lastModifiedBy>
  <dcterms:modified xsi:type="dcterms:W3CDTF">2021-10-14T07:58:55Z</dcterms:modified>
  <cp:revision>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D66A6BF06A99405C9171CFAC05A66F02</vt:lpwstr>
  </property>
</Properties>
</file>