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1032-2021-F</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黔南兴隆生物科技有限公司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91522726MA6DK8CC5N</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A3"/>
            </w:r>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8" w:name="EnMS勾选"/>
            <w:r>
              <w:rPr>
                <w:rFonts w:hint="eastAsia"/>
                <w:sz w:val="22"/>
                <w:szCs w:val="22"/>
                <w:lang w:val="en-US" w:eastAsia="zh-CN"/>
              </w:rPr>
              <w:t>□</w:t>
            </w:r>
            <w:bookmarkEnd w:id="8"/>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黔南兴隆生物科技有限公司</w:t>
            </w:r>
            <w:bookmarkEnd w:id="16"/>
          </w:p>
        </w:tc>
        <w:tc>
          <w:tcPr>
            <w:tcW w:w="5013" w:type="dxa"/>
            <w:gridSpan w:val="4"/>
            <w:vMerge w:val="restart"/>
          </w:tcPr>
          <w:p>
            <w:pPr>
              <w:snapToGrid w:val="0"/>
              <w:spacing w:line="360" w:lineRule="auto"/>
              <w:jc w:val="left"/>
              <w:rPr>
                <w:rFonts w:hint="eastAsia" w:cs="Times New Roman"/>
                <w:b w:val="0"/>
                <w:kern w:val="2"/>
                <w:sz w:val="22"/>
                <w:szCs w:val="22"/>
                <w:lang w:val="en-US" w:eastAsia="zh-CN" w:bidi="ar-SA"/>
              </w:rPr>
            </w:pPr>
            <w:bookmarkStart w:id="17" w:name="审核范围"/>
            <w:r>
              <w:rPr>
                <w:sz w:val="21"/>
                <w:szCs w:val="21"/>
              </w:rPr>
              <w:t>位于贵州省黔南布依族苗族自治州独山县麻尾工业园区内黔南兴隆生物科技有限公司生产车间的食品添加剂（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贵州省黔南布依族苗族自治州独山县麻尾工业园区内</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贵州省黔南布依族苗族自治州独山县麻尾工业园区内</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cs="Arial"/>
                <w:b/>
                <w:bCs/>
                <w:sz w:val="22"/>
                <w:szCs w:val="16"/>
                <w:highlight w:val="none"/>
                <w:lang w:val="en-US"/>
              </w:rPr>
              <w:t>Company Name</w:t>
            </w:r>
            <w:r>
              <w:rPr>
                <w:rFonts w:hint="eastAsia" w:ascii="Times New Roman" w:hAnsi="Times New Roman" w:eastAsia="宋体" w:cs="Times New Roman"/>
                <w:b w:val="0"/>
                <w:kern w:val="2"/>
                <w:sz w:val="22"/>
                <w:szCs w:val="22"/>
                <w:highlight w:val="none"/>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Qiannan Xinglong Biological Technology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QMS/EcMS</w:t>
            </w:r>
          </w:p>
        </w:tc>
        <w:tc>
          <w:tcPr>
            <w:tcW w:w="3676" w:type="dxa"/>
            <w:gridSpan w:val="3"/>
          </w:tcPr>
          <w:p>
            <w:pPr>
              <w:snapToGrid w:val="0"/>
              <w:spacing w:line="0" w:lineRule="atLeast"/>
              <w:jc w:val="left"/>
              <w:rPr>
                <w:rFonts w:hint="eastAsia"/>
                <w:sz w:val="21"/>
                <w:szCs w:val="16"/>
                <w:highlight w:val="none"/>
                <w:lang w:val="en-US" w:eastAsia="zh-CN"/>
              </w:rPr>
            </w:pPr>
            <w:r>
              <w:rPr>
                <w:rFonts w:hint="eastAsia" w:cs="Times New Roman"/>
                <w:b w:val="0"/>
                <w:kern w:val="2"/>
                <w:sz w:val="22"/>
                <w:szCs w:val="22"/>
                <w:highlight w:val="none"/>
                <w:lang w:val="en-US" w:eastAsia="zh-CN" w:bidi="ar-SA"/>
              </w:rPr>
              <w:t>——</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76" w:type="dxa"/>
            <w:vMerge w:val="continue"/>
          </w:tcPr>
          <w:p>
            <w:pPr>
              <w:snapToGrid w:val="0"/>
              <w:spacing w:line="0" w:lineRule="atLeast"/>
              <w:jc w:val="left"/>
              <w:rPr>
                <w:rFonts w:cs="Arial"/>
                <w:b/>
                <w:bCs/>
                <w:sz w:val="22"/>
                <w:szCs w:val="16"/>
                <w:highlight w:val="none"/>
                <w:lang w:val="en-US"/>
              </w:rPr>
            </w:pPr>
          </w:p>
        </w:tc>
        <w:tc>
          <w:tcPr>
            <w:tcW w:w="3373" w:type="dxa"/>
            <w:vMerge w:val="continue"/>
          </w:tcPr>
          <w:p>
            <w:pPr>
              <w:snapToGrid w:val="0"/>
              <w:spacing w:line="0" w:lineRule="atLeast"/>
              <w:jc w:val="left"/>
              <w:rPr>
                <w:rFonts w:hint="eastAsia" w:cs="Arial"/>
                <w:b/>
                <w:bCs/>
                <w:sz w:val="22"/>
                <w:szCs w:val="16"/>
                <w:highlight w:val="none"/>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EMS</w:t>
            </w:r>
          </w:p>
        </w:tc>
        <w:tc>
          <w:tcPr>
            <w:tcW w:w="3676" w:type="dxa"/>
            <w:gridSpan w:val="3"/>
          </w:tcPr>
          <w:p>
            <w:pPr>
              <w:snapToGrid w:val="0"/>
              <w:spacing w:line="0" w:lineRule="atLeast"/>
              <w:jc w:val="left"/>
              <w:rPr>
                <w:rFonts w:hint="eastAsia"/>
                <w:sz w:val="21"/>
                <w:szCs w:val="16"/>
                <w:highlight w:val="none"/>
                <w:lang w:val="en-US" w:eastAsia="zh-CN"/>
              </w:rPr>
            </w:pPr>
            <w:r>
              <w:rPr>
                <w:rFonts w:hint="eastAsia"/>
                <w:sz w:val="21"/>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sz w:val="22"/>
                <w:szCs w:val="16"/>
                <w:highlight w:val="none"/>
              </w:rPr>
              <w:fldChar w:fldCharType="begin"/>
            </w:r>
            <w:r>
              <w:rPr>
                <w:sz w:val="22"/>
                <w:szCs w:val="16"/>
                <w:highlight w:val="none"/>
                <w:lang w:val="en-GB" w:eastAsia="zh-CN"/>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lang w:val="en-US"/>
              </w:rPr>
              <w:t>Registration Address</w:t>
            </w:r>
            <w:r>
              <w:rPr>
                <w:rFonts w:hint="eastAsia" w:ascii="Times New Roman" w:hAnsi="Times New Roman" w:eastAsia="宋体" w:cs="Times New Roman"/>
                <w:b w:val="0"/>
                <w:kern w:val="2"/>
                <w:sz w:val="22"/>
                <w:szCs w:val="22"/>
                <w:highlight w:val="none"/>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Arial"/>
                <w:b/>
                <w:bCs/>
                <w:sz w:val="22"/>
                <w:szCs w:val="16"/>
                <w:highlight w:val="none"/>
                <w:lang w:val="en-US" w:eastAsia="zh-CN"/>
              </w:rPr>
              <w:t>In Mawei Industrial Park, Dushan County, Qiannan Buyi and Miao Autonomous Prefecture, Guizhou Province,P.R.China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cs="Arial"/>
                <w:b/>
                <w:bCs/>
                <w:sz w:val="22"/>
                <w:szCs w:val="16"/>
                <w:highlight w:val="none"/>
                <w:lang w:val="en-US"/>
              </w:rPr>
              <w:t>Operation Address</w:t>
            </w:r>
            <w:r>
              <w:rPr>
                <w:rFonts w:hint="eastAsia" w:cs="Times New Roman"/>
                <w:b w:val="0"/>
                <w:kern w:val="2"/>
                <w:sz w:val="22"/>
                <w:szCs w:val="22"/>
                <w:highlight w:val="none"/>
                <w:lang w:val="en-US" w:eastAsia="zh-CN" w:bidi="ar-SA"/>
              </w:rPr>
              <w:t>经营</w:t>
            </w:r>
            <w:r>
              <w:rPr>
                <w:rFonts w:hint="eastAsia" w:ascii="Times New Roman" w:hAnsi="Times New Roman" w:eastAsia="宋体" w:cs="Times New Roman"/>
                <w:b w:val="0"/>
                <w:kern w:val="2"/>
                <w:sz w:val="22"/>
                <w:szCs w:val="22"/>
                <w:highlight w:val="none"/>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Arial"/>
                <w:b/>
                <w:bCs/>
                <w:sz w:val="22"/>
                <w:szCs w:val="16"/>
                <w:highlight w:val="none"/>
                <w:lang w:val="en-US" w:eastAsia="zh-CN"/>
              </w:rPr>
              <w:t>In Mawei Industrial Park, Dushan County, Qiannan Buyi and Miao Autonomous Prefecture, Guizhou Province,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The production of food additives (calcium carbonate [heavy calcium carbonate]) is located in the workshop of Qiannan Xinglong Biological Technology Co., LTD., Mawei Industrial Park, Dushan County, Qiannan Buyi and Miao Autonomous Prefecture, Guizhou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lang w:val="en-US"/>
              </w:rPr>
            </w:pPr>
          </w:p>
        </w:tc>
        <w:tc>
          <w:tcPr>
            <w:tcW w:w="3373" w:type="dxa"/>
            <w:vMerge w:val="continue"/>
          </w:tcPr>
          <w:p>
            <w:pPr>
              <w:snapToGrid w:val="0"/>
              <w:spacing w:line="0" w:lineRule="atLeast"/>
              <w:jc w:val="left"/>
              <w:rPr>
                <w:rFonts w:cs="Arial"/>
                <w:b/>
                <w:bCs/>
                <w:sz w:val="22"/>
                <w:szCs w:val="16"/>
                <w:highlight w:val="none"/>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HACCP</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4515F6"/>
    <w:rsid w:val="25A34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2021-10-18T08:57:15Z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