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黔南兴隆生物科技有限公司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贵州省黔南布依族苗族自治州独山县麻尾工业园区内</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贵州省黔南布依族苗族自治州独山县麻尾工业园区内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1032-2021-F</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陈天然</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15988359174</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chentianran@88.com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pPr>
              <w:rPr>
                <w:rFonts w:hint="eastAsia" w:eastAsia="宋体"/>
                <w:lang w:eastAsia="zh-CN"/>
              </w:rPr>
            </w:pPr>
            <w:bookmarkStart w:id="14" w:name="管理者代表"/>
            <w:r>
              <w:t>陈天然</w:t>
            </w:r>
            <w:bookmarkEnd w:id="14"/>
            <w:r>
              <w:rPr>
                <w:rFonts w:hint="eastAsia"/>
                <w:lang w:eastAsia="zh-CN"/>
              </w:rPr>
              <w:t>（</w:t>
            </w:r>
            <w:r>
              <w:rPr>
                <w:rFonts w:hint="eastAsia"/>
                <w:lang w:val="en-US" w:eastAsia="zh-CN"/>
              </w:rPr>
              <w:t>管代</w:t>
            </w:r>
            <w:r>
              <w:rPr>
                <w:rFonts w:hint="eastAsia"/>
                <w:lang w:eastAsia="zh-CN"/>
              </w:rPr>
              <w:t>）</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rFonts w:hint="eastAsia" w:eastAsia="宋体"/>
                <w:lang w:eastAsia="zh-CN"/>
              </w:rPr>
            </w:pPr>
            <w:bookmarkStart w:id="15" w:name="管代电话"/>
            <w:bookmarkEnd w:id="15"/>
            <w:r>
              <w:rPr>
                <w:rFonts w:hint="eastAsia"/>
                <w:lang w:eastAsia="zh-CN"/>
              </w:rPr>
              <w:t>——</w:t>
            </w:r>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一阶段现场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sym w:font="Wingdings 2" w:char="0052"/>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7" w:name="非现场"/>
            <w:r>
              <w:rPr>
                <w:rFonts w:hint="eastAsia" w:ascii="宋体" w:hAnsi="宋体" w:cs="宋体"/>
                <w:color w:val="000000"/>
                <w:kern w:val="0"/>
                <w:szCs w:val="24"/>
              </w:rPr>
              <w:t>□非现场  □现场</w:t>
            </w:r>
            <w:bookmarkEnd w:id="17"/>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hint="eastAsia" w:ascii="宋体" w:hAnsi="宋体" w:eastAsia="宋体"/>
                <w:b/>
                <w:color w:val="0000FF"/>
                <w:sz w:val="21"/>
                <w:szCs w:val="21"/>
                <w:lang w:val="en-US" w:eastAsia="zh-CN"/>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r>
              <w:rPr>
                <w:rFonts w:hint="eastAsia"/>
                <w:color w:val="0000FF"/>
                <w:sz w:val="22"/>
                <w:lang w:val="en-US" w:eastAsia="zh-CN"/>
              </w:rPr>
              <w:t xml:space="preserve">  </w:t>
            </w:r>
            <w:r>
              <w:rPr>
                <w:rFonts w:hint="eastAsia" w:ascii="宋体" w:hAnsi="宋体" w:cs="宋体"/>
                <w:color w:val="000000"/>
                <w:kern w:val="0"/>
                <w:szCs w:val="24"/>
              </w:rPr>
              <w:sym w:font="Wingdings 2" w:char="0052"/>
            </w:r>
            <w:r>
              <w:rPr>
                <w:rFonts w:hint="eastAsia" w:ascii="宋体" w:hAnsi="宋体" w:cs="宋体"/>
                <w:color w:val="000000"/>
                <w:kern w:val="0"/>
                <w:szCs w:val="24"/>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r>
              <w:rPr>
                <w:rFonts w:hint="eastAsia"/>
                <w:color w:val="0000FF"/>
                <w:sz w:val="22"/>
                <w:lang w:val="en-US" w:eastAsia="zh-CN"/>
              </w:rPr>
              <w:t xml:space="preserve"> </w:t>
            </w:r>
            <w:r>
              <w:rPr>
                <w:rFonts w:hint="eastAsia" w:ascii="宋体" w:hAnsi="宋体" w:cs="宋体"/>
                <w:color w:val="000000"/>
                <w:kern w:val="0"/>
                <w:szCs w:val="24"/>
              </w:rPr>
              <w:sym w:font="Wingdings 2" w:char="0052"/>
            </w:r>
            <w:r>
              <w:rPr>
                <w:rFonts w:hint="eastAsia" w:ascii="宋体" w:hAnsi="宋体" w:cs="宋体"/>
                <w:color w:val="000000"/>
                <w:kern w:val="0"/>
                <w:szCs w:val="24"/>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8" w:name="审核范围"/>
            <w:r>
              <w:rPr>
                <w:sz w:val="21"/>
                <w:szCs w:val="21"/>
              </w:rPr>
              <w:t>位于贵州省黔南布依族苗族自治州独山县麻尾工业园区内黔南兴隆生物科技有限公司生产车间的食品添加剂（</w:t>
            </w:r>
            <w:r>
              <w:rPr>
                <w:rFonts w:hint="eastAsia"/>
                <w:sz w:val="21"/>
                <w:szCs w:val="21"/>
                <w:lang w:val="en-US" w:eastAsia="zh-CN"/>
              </w:rPr>
              <w:t>碳酸钙【</w:t>
            </w:r>
            <w:r>
              <w:rPr>
                <w:sz w:val="21"/>
                <w:szCs w:val="21"/>
              </w:rPr>
              <w:t>重质碳酸钙</w:t>
            </w:r>
            <w:r>
              <w:rPr>
                <w:rFonts w:hint="eastAsia"/>
                <w:sz w:val="21"/>
                <w:szCs w:val="21"/>
                <w:lang w:val="en-US" w:eastAsia="zh-CN"/>
              </w:rPr>
              <w:t>】</w:t>
            </w:r>
            <w:r>
              <w:rPr>
                <w:sz w:val="21"/>
                <w:szCs w:val="21"/>
              </w:rPr>
              <w:t>）的生产</w:t>
            </w:r>
            <w:bookmarkEnd w:id="18"/>
            <w:bookmarkStart w:id="30" w:name="_GoBack"/>
            <w:bookmarkEnd w:id="30"/>
          </w:p>
        </w:tc>
        <w:tc>
          <w:tcPr>
            <w:tcW w:w="1201" w:type="dxa"/>
            <w:gridSpan w:val="2"/>
            <w:vAlign w:val="center"/>
          </w:tcPr>
          <w:p>
            <w:r>
              <w:rPr>
                <w:rFonts w:hint="eastAsia"/>
              </w:rPr>
              <w:t>项目专业代码</w:t>
            </w:r>
          </w:p>
        </w:tc>
        <w:tc>
          <w:tcPr>
            <w:tcW w:w="1831" w:type="dxa"/>
            <w:gridSpan w:val="3"/>
            <w:vAlign w:val="center"/>
          </w:tcPr>
          <w:p>
            <w:bookmarkStart w:id="19" w:name="专业代码"/>
            <w:r>
              <w:t>K-1</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bookmarkStart w:id="24" w:name="EnMS勾选Add1"/>
            <w:r>
              <w:rPr>
                <w:rFonts w:hint="eastAsia" w:ascii="宋体" w:hAnsi="宋体"/>
                <w:b/>
                <w:sz w:val="21"/>
                <w:szCs w:val="21"/>
              </w:rPr>
              <w:t>□</w:t>
            </w:r>
            <w:bookmarkEnd w:id="24"/>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5" w:name="F勾选Add1"/>
            <w:r>
              <w:rPr>
                <w:rFonts w:hint="eastAsia" w:ascii="宋体" w:hAnsi="宋体"/>
                <w:b/>
                <w:sz w:val="21"/>
                <w:szCs w:val="21"/>
              </w:rPr>
              <w:t>■</w:t>
            </w:r>
            <w:bookmarkEnd w:id="25"/>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rPr>
              <w:t>□</w:t>
            </w:r>
            <w:bookmarkEnd w:id="26"/>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7" w:name="审核日期"/>
            <w:r>
              <w:rPr>
                <w:rFonts w:hint="eastAsia"/>
                <w:b/>
                <w:sz w:val="21"/>
                <w:szCs w:val="21"/>
              </w:rPr>
              <w:t>2021年10月17日 下午</w:t>
            </w:r>
            <w:r>
              <w:rPr>
                <w:rFonts w:hint="eastAsia"/>
                <w:b/>
                <w:sz w:val="21"/>
                <w:szCs w:val="21"/>
                <w:lang w:val="en-US" w:eastAsia="zh-CN"/>
              </w:rPr>
              <w:t>12：30</w:t>
            </w:r>
            <w:r>
              <w:rPr>
                <w:rFonts w:hint="eastAsia"/>
                <w:b/>
                <w:sz w:val="21"/>
                <w:szCs w:val="21"/>
              </w:rPr>
              <w:t>至2021年10月17日 下午</w:t>
            </w:r>
            <w:bookmarkEnd w:id="27"/>
            <w:r>
              <w:rPr>
                <w:rFonts w:hint="eastAsia"/>
                <w:b/>
                <w:sz w:val="21"/>
                <w:szCs w:val="21"/>
                <w:lang w:val="en-US" w:eastAsia="zh-CN"/>
              </w:rPr>
              <w:t>16:30</w:t>
            </w:r>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日，共</w:t>
            </w:r>
            <w:r>
              <w:rPr>
                <w:rFonts w:hint="eastAsia"/>
                <w:b/>
                <w:sz w:val="21"/>
                <w:szCs w:val="21"/>
                <w:lang w:val="en-US" w:eastAsia="zh-CN"/>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肖新龙</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2020-N1FSMS-1232380</w:t>
            </w:r>
          </w:p>
        </w:tc>
        <w:tc>
          <w:tcPr>
            <w:tcW w:w="1029" w:type="dxa"/>
            <w:gridSpan w:val="4"/>
            <w:vAlign w:val="center"/>
          </w:tcPr>
          <w:p>
            <w:pPr>
              <w:jc w:val="center"/>
              <w:rPr>
                <w:rFonts w:hint="eastAsia" w:eastAsia="宋体"/>
                <w:sz w:val="18"/>
                <w:szCs w:val="18"/>
                <w:lang w:val="en-US" w:eastAsia="zh-CN"/>
              </w:rPr>
            </w:pPr>
            <w:r>
              <w:rPr>
                <w:rFonts w:hint="eastAsia"/>
                <w:sz w:val="18"/>
                <w:szCs w:val="18"/>
                <w:lang w:val="en-US" w:eastAsia="zh-CN"/>
              </w:rPr>
              <w:t>现场</w:t>
            </w:r>
          </w:p>
        </w:tc>
        <w:tc>
          <w:tcPr>
            <w:tcW w:w="868" w:type="dxa"/>
            <w:gridSpan w:val="2"/>
            <w:vAlign w:val="center"/>
          </w:tcPr>
          <w:p>
            <w:pPr>
              <w:jc w:val="center"/>
              <w:rPr>
                <w:sz w:val="21"/>
                <w:szCs w:val="21"/>
              </w:rPr>
            </w:pPr>
          </w:p>
        </w:tc>
        <w:tc>
          <w:tcPr>
            <w:tcW w:w="1393" w:type="dxa"/>
            <w:gridSpan w:val="3"/>
            <w:vAlign w:val="center"/>
          </w:tcPr>
          <w:p>
            <w:pPr>
              <w:jc w:val="center"/>
              <w:rPr>
                <w:rFonts w:hint="default" w:eastAsia="宋体"/>
                <w:sz w:val="21"/>
                <w:szCs w:val="21"/>
                <w:lang w:val="en-US" w:eastAsia="zh-CN"/>
              </w:rPr>
            </w:pPr>
            <w:r>
              <w:rPr>
                <w:rFonts w:hint="eastAsia"/>
                <w:sz w:val="21"/>
                <w:szCs w:val="21"/>
                <w:lang w:val="en-US" w:eastAsia="zh-CN"/>
              </w:rPr>
              <w:t>18006317769</w:t>
            </w:r>
          </w:p>
        </w:tc>
        <w:tc>
          <w:tcPr>
            <w:tcW w:w="1084" w:type="dxa"/>
            <w:vAlign w:val="center"/>
          </w:tcPr>
          <w:p>
            <w:pPr>
              <w:jc w:val="cente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任泽华</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2020-N1FSMS-3059498</w:t>
            </w:r>
          </w:p>
        </w:tc>
        <w:tc>
          <w:tcPr>
            <w:tcW w:w="1029" w:type="dxa"/>
            <w:gridSpan w:val="4"/>
            <w:vAlign w:val="center"/>
          </w:tcPr>
          <w:p>
            <w:pPr>
              <w:jc w:val="center"/>
              <w:rPr>
                <w:sz w:val="18"/>
                <w:szCs w:val="18"/>
              </w:rPr>
            </w:pPr>
            <w:r>
              <w:rPr>
                <w:rFonts w:hint="eastAsia"/>
                <w:sz w:val="18"/>
                <w:szCs w:val="18"/>
                <w:lang w:val="en-US" w:eastAsia="zh-CN"/>
              </w:rPr>
              <w:t>现场</w:t>
            </w:r>
          </w:p>
        </w:tc>
        <w:tc>
          <w:tcPr>
            <w:tcW w:w="868" w:type="dxa"/>
            <w:gridSpan w:val="2"/>
            <w:vAlign w:val="center"/>
          </w:tcPr>
          <w:p>
            <w:pPr>
              <w:jc w:val="center"/>
              <w:rPr>
                <w:sz w:val="21"/>
                <w:szCs w:val="21"/>
              </w:rPr>
            </w:pPr>
            <w:r>
              <w:rPr>
                <w:sz w:val="21"/>
                <w:szCs w:val="21"/>
              </w:rPr>
              <w:t>K-1</w:t>
            </w:r>
          </w:p>
        </w:tc>
        <w:tc>
          <w:tcPr>
            <w:tcW w:w="1393" w:type="dxa"/>
            <w:gridSpan w:val="3"/>
            <w:vAlign w:val="center"/>
          </w:tcPr>
          <w:p>
            <w:pPr>
              <w:jc w:val="center"/>
              <w:rPr>
                <w:sz w:val="21"/>
                <w:szCs w:val="21"/>
              </w:rPr>
            </w:pPr>
            <w:r>
              <w:rPr>
                <w:sz w:val="21"/>
                <w:szCs w:val="21"/>
              </w:rPr>
              <w:t>13173653732</w:t>
            </w:r>
          </w:p>
        </w:tc>
        <w:tc>
          <w:tcPr>
            <w:tcW w:w="1084" w:type="dxa"/>
            <w:vAlign w:val="center"/>
          </w:tcPr>
          <w:p>
            <w:pPr>
              <w:jc w:val="cente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lang w:eastAsia="zh-CN"/>
              </w:rPr>
            </w:pPr>
            <w:r>
              <w:rPr>
                <w:rFonts w:hint="eastAsia"/>
                <w:lang w:eastAsia="zh-CN"/>
              </w:rPr>
              <w:t>——</w:t>
            </w: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9" w:name="总组长Add1"/>
            <w:r>
              <w:rPr>
                <w:sz w:val="21"/>
                <w:szCs w:val="21"/>
              </w:rPr>
              <w:t>肖新龙</w:t>
            </w:r>
            <w:bookmarkEnd w:id="29"/>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18006317769</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2021-10-11</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207"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60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20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18"/>
                <w:szCs w:val="18"/>
              </w:rPr>
            </w:pPr>
            <w:r>
              <w:rPr>
                <w:rFonts w:hint="eastAsia"/>
                <w:b/>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tcBorders>
              <w:left w:val="single" w:color="auto" w:sz="8" w:space="0"/>
            </w:tcBorders>
            <w:vAlign w:val="center"/>
          </w:tcPr>
          <w:p>
            <w:pPr>
              <w:snapToGrid w:val="0"/>
              <w:spacing w:line="280" w:lineRule="exact"/>
              <w:jc w:val="center"/>
              <w:rPr>
                <w:b/>
                <w:sz w:val="18"/>
                <w:szCs w:val="18"/>
              </w:rPr>
            </w:pPr>
            <w:r>
              <w:rPr>
                <w:rFonts w:hint="eastAsia"/>
                <w:b/>
                <w:sz w:val="18"/>
                <w:szCs w:val="18"/>
              </w:rPr>
              <w:t>日期</w:t>
            </w:r>
          </w:p>
        </w:tc>
        <w:tc>
          <w:tcPr>
            <w:tcW w:w="1417" w:type="dxa"/>
            <w:vAlign w:val="center"/>
          </w:tcPr>
          <w:p>
            <w:pPr>
              <w:snapToGrid w:val="0"/>
              <w:spacing w:line="280" w:lineRule="exact"/>
              <w:jc w:val="center"/>
              <w:rPr>
                <w:b/>
                <w:sz w:val="18"/>
                <w:szCs w:val="18"/>
              </w:rPr>
            </w:pPr>
            <w:r>
              <w:rPr>
                <w:rFonts w:hint="eastAsia"/>
                <w:b/>
                <w:sz w:val="18"/>
                <w:szCs w:val="18"/>
              </w:rPr>
              <w:t>时间</w:t>
            </w:r>
          </w:p>
        </w:tc>
        <w:tc>
          <w:tcPr>
            <w:tcW w:w="6095" w:type="dxa"/>
            <w:vAlign w:val="center"/>
          </w:tcPr>
          <w:p>
            <w:pPr>
              <w:snapToGrid w:val="0"/>
              <w:spacing w:line="280" w:lineRule="exact"/>
              <w:jc w:val="center"/>
              <w:rPr>
                <w:b/>
                <w:sz w:val="18"/>
                <w:szCs w:val="18"/>
              </w:rPr>
            </w:pPr>
            <w:r>
              <w:rPr>
                <w:rFonts w:hint="eastAsia"/>
                <w:b/>
                <w:sz w:val="18"/>
                <w:szCs w:val="18"/>
              </w:rPr>
              <w:t>受审核部门、场所及审核内容</w:t>
            </w:r>
          </w:p>
        </w:tc>
        <w:tc>
          <w:tcPr>
            <w:tcW w:w="1418" w:type="dxa"/>
            <w:tcBorders>
              <w:right w:val="single" w:color="auto" w:sz="8" w:space="0"/>
            </w:tcBorders>
            <w:vAlign w:val="center"/>
          </w:tcPr>
          <w:p>
            <w:pPr>
              <w:snapToGrid w:val="0"/>
              <w:spacing w:line="280" w:lineRule="exact"/>
              <w:jc w:val="center"/>
              <w:rPr>
                <w:b/>
                <w:sz w:val="18"/>
                <w:szCs w:val="18"/>
              </w:rPr>
            </w:pPr>
            <w:r>
              <w:rPr>
                <w:rFonts w:hint="eastAsia"/>
                <w:b/>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vMerge w:val="restart"/>
            <w:tcBorders>
              <w:left w:val="single" w:color="auto" w:sz="8" w:space="0"/>
            </w:tcBorders>
            <w:vAlign w:val="center"/>
          </w:tcPr>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b/>
                <w:sz w:val="18"/>
                <w:szCs w:val="18"/>
              </w:rPr>
            </w:pPr>
          </w:p>
          <w:p>
            <w:pPr>
              <w:snapToGrid w:val="0"/>
              <w:spacing w:line="280" w:lineRule="exact"/>
              <w:jc w:val="center"/>
              <w:rPr>
                <w:rFonts w:hint="default" w:eastAsia="宋体"/>
                <w:b/>
                <w:sz w:val="18"/>
                <w:szCs w:val="18"/>
                <w:lang w:val="en-US" w:eastAsia="zh-CN"/>
              </w:rPr>
            </w:pPr>
            <w:r>
              <w:rPr>
                <w:rFonts w:hint="eastAsia"/>
                <w:b/>
                <w:sz w:val="18"/>
                <w:szCs w:val="18"/>
              </w:rPr>
              <w:t>202</w:t>
            </w:r>
            <w:r>
              <w:rPr>
                <w:rFonts w:hint="eastAsia"/>
                <w:b/>
                <w:sz w:val="18"/>
                <w:szCs w:val="18"/>
                <w:lang w:val="en-US" w:eastAsia="zh-CN"/>
              </w:rPr>
              <w:t>1-10-17下午</w:t>
            </w:r>
          </w:p>
        </w:tc>
        <w:tc>
          <w:tcPr>
            <w:tcW w:w="1417" w:type="dxa"/>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12:00</w:t>
            </w:r>
          </w:p>
        </w:tc>
        <w:tc>
          <w:tcPr>
            <w:tcW w:w="6095" w:type="dxa"/>
            <w:vAlign w:val="center"/>
          </w:tcPr>
          <w:p>
            <w:pPr>
              <w:snapToGrid w:val="0"/>
              <w:spacing w:line="280" w:lineRule="exact"/>
              <w:jc w:val="center"/>
              <w:rPr>
                <w:rFonts w:hint="eastAsia" w:eastAsia="宋体"/>
                <w:b/>
                <w:sz w:val="18"/>
                <w:szCs w:val="18"/>
                <w:lang w:val="en-US" w:eastAsia="zh-CN"/>
              </w:rPr>
            </w:pPr>
            <w:r>
              <w:rPr>
                <w:rFonts w:hint="eastAsia"/>
                <w:b/>
                <w:sz w:val="18"/>
                <w:szCs w:val="18"/>
                <w:lang w:val="en-US" w:eastAsia="zh-CN"/>
              </w:rPr>
              <w:t>到达</w:t>
            </w:r>
          </w:p>
        </w:tc>
        <w:tc>
          <w:tcPr>
            <w:tcW w:w="1418" w:type="dxa"/>
            <w:tcBorders>
              <w:right w:val="single" w:color="auto" w:sz="8" w:space="0"/>
            </w:tcBorders>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77" w:type="dxa"/>
            <w:vMerge w:val="continue"/>
            <w:tcBorders>
              <w:left w:val="single" w:color="auto" w:sz="8" w:space="0"/>
            </w:tcBorders>
            <w:vAlign w:val="center"/>
          </w:tcPr>
          <w:p>
            <w:pPr>
              <w:snapToGrid w:val="0"/>
              <w:spacing w:line="280" w:lineRule="exact"/>
              <w:jc w:val="center"/>
              <w:rPr>
                <w:rFonts w:hint="eastAsia"/>
                <w:b/>
                <w:sz w:val="18"/>
                <w:szCs w:val="18"/>
              </w:rPr>
            </w:pPr>
          </w:p>
        </w:tc>
        <w:tc>
          <w:tcPr>
            <w:tcW w:w="1417" w:type="dxa"/>
            <w:vAlign w:val="center"/>
          </w:tcPr>
          <w:p>
            <w:pPr>
              <w:snapToGrid w:val="0"/>
              <w:spacing w:line="280" w:lineRule="exact"/>
              <w:jc w:val="center"/>
              <w:rPr>
                <w:rFonts w:hint="default"/>
                <w:b/>
                <w:sz w:val="18"/>
                <w:szCs w:val="18"/>
                <w:lang w:val="en-US" w:eastAsia="zh-CN"/>
              </w:rPr>
            </w:pPr>
            <w:r>
              <w:rPr>
                <w:rFonts w:hint="eastAsia"/>
                <w:b/>
                <w:sz w:val="18"/>
                <w:szCs w:val="18"/>
                <w:lang w:val="en-US" w:eastAsia="zh-CN"/>
              </w:rPr>
              <w:t>12:00-12:30</w:t>
            </w:r>
          </w:p>
        </w:tc>
        <w:tc>
          <w:tcPr>
            <w:tcW w:w="6095" w:type="dxa"/>
            <w:vAlign w:val="center"/>
          </w:tcPr>
          <w:p>
            <w:pPr>
              <w:snapToGrid w:val="0"/>
              <w:spacing w:line="280" w:lineRule="exact"/>
              <w:jc w:val="center"/>
              <w:rPr>
                <w:rFonts w:hint="eastAsia"/>
                <w:b/>
                <w:sz w:val="18"/>
                <w:szCs w:val="18"/>
              </w:rPr>
            </w:pPr>
            <w:r>
              <w:rPr>
                <w:rFonts w:hint="eastAsia"/>
                <w:b/>
                <w:sz w:val="18"/>
                <w:szCs w:val="18"/>
              </w:rPr>
              <w:t>首次会议</w:t>
            </w:r>
          </w:p>
        </w:tc>
        <w:tc>
          <w:tcPr>
            <w:tcW w:w="1418" w:type="dxa"/>
            <w:tcBorders>
              <w:right w:val="single" w:color="auto" w:sz="8" w:space="0"/>
            </w:tcBorders>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12:30-13:00</w:t>
            </w:r>
          </w:p>
        </w:tc>
        <w:tc>
          <w:tcPr>
            <w:tcW w:w="6095" w:type="dxa"/>
            <w:shd w:val="clear" w:color="auto" w:fill="DBEEF3" w:themeFill="accent5" w:themeFillTint="32"/>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r>
              <w:rPr>
                <w:sz w:val="21"/>
                <w:szCs w:val="21"/>
              </w:rPr>
              <w:t xml:space="preserve"> </w:t>
            </w:r>
          </w:p>
          <w:p>
            <w:pPr>
              <w:pStyle w:val="8"/>
              <w:numPr>
                <w:ilvl w:val="0"/>
                <w:numId w:val="1"/>
              </w:numPr>
              <w:ind w:firstLineChars="0"/>
              <w:rPr>
                <w:sz w:val="21"/>
                <w:szCs w:val="21"/>
              </w:rPr>
            </w:pPr>
            <w:r>
              <w:rPr>
                <w:rFonts w:hint="eastAsia"/>
                <w:sz w:val="21"/>
                <w:szCs w:val="21"/>
              </w:rPr>
              <w:t>生产、服务的班次</w:t>
            </w:r>
          </w:p>
          <w:p>
            <w:pPr>
              <w:pStyle w:val="8"/>
              <w:widowControl/>
              <w:numPr>
                <w:ilvl w:val="0"/>
                <w:numId w:val="1"/>
              </w:numPr>
              <w:spacing w:before="40"/>
              <w:ind w:firstLineChars="0"/>
              <w:jc w:val="left"/>
              <w:rPr>
                <w:b/>
                <w:bCs/>
                <w:sz w:val="18"/>
                <w:szCs w:val="18"/>
                <w:shd w:val="pct10" w:color="auto" w:fill="FFFFFF"/>
              </w:rPr>
            </w:pPr>
            <w:r>
              <w:rPr>
                <w:rFonts w:hint="eastAsia"/>
                <w:sz w:val="21"/>
                <w:szCs w:val="21"/>
              </w:rPr>
              <w:t>体系运行时间是否满足3个月</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eastAsia" w:eastAsia="宋体"/>
                <w:b/>
                <w:sz w:val="18"/>
                <w:szCs w:val="18"/>
                <w:lang w:val="en-US" w:eastAsia="zh-CN"/>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E6E0EC" w:themeFill="accent4" w:themeFillTint="32"/>
            <w:vAlign w:val="center"/>
          </w:tcPr>
          <w:p>
            <w:pPr>
              <w:snapToGrid w:val="0"/>
              <w:spacing w:line="280" w:lineRule="exact"/>
              <w:jc w:val="center"/>
              <w:rPr>
                <w:rFonts w:hint="default"/>
                <w:b/>
                <w:sz w:val="18"/>
                <w:szCs w:val="18"/>
                <w:lang w:val="en-US"/>
              </w:rPr>
            </w:pPr>
            <w:r>
              <w:rPr>
                <w:rFonts w:hint="eastAsia"/>
                <w:b/>
                <w:sz w:val="18"/>
                <w:szCs w:val="18"/>
                <w:lang w:val="en-US" w:eastAsia="zh-CN"/>
              </w:rPr>
              <w:t>12:30-13:00</w:t>
            </w:r>
          </w:p>
        </w:tc>
        <w:tc>
          <w:tcPr>
            <w:tcW w:w="6095" w:type="dxa"/>
            <w:shd w:val="clear" w:color="auto" w:fill="E6E0EC" w:themeFill="accent4" w:themeFillTint="32"/>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1"/>
              </w:numPr>
              <w:jc w:val="left"/>
              <w:rPr>
                <w:sz w:val="21"/>
                <w:szCs w:val="21"/>
              </w:rPr>
            </w:pPr>
            <w:r>
              <w:rPr>
                <w:rFonts w:hint="eastAsia"/>
                <w:sz w:val="21"/>
                <w:szCs w:val="21"/>
              </w:rPr>
              <w:t>组织环境</w:t>
            </w:r>
          </w:p>
          <w:p>
            <w:pPr>
              <w:widowControl/>
              <w:numPr>
                <w:ilvl w:val="0"/>
                <w:numId w:val="1"/>
              </w:numPr>
              <w:jc w:val="left"/>
              <w:rPr>
                <w:sz w:val="21"/>
                <w:szCs w:val="21"/>
              </w:rPr>
            </w:pPr>
            <w:r>
              <w:rPr>
                <w:rFonts w:hint="eastAsia"/>
                <w:sz w:val="21"/>
                <w:szCs w:val="21"/>
              </w:rPr>
              <w:t>主要的相关方和期望</w:t>
            </w:r>
            <w:r>
              <w:rPr>
                <w:sz w:val="21"/>
                <w:szCs w:val="21"/>
              </w:rPr>
              <w:t xml:space="preserve"> </w:t>
            </w:r>
          </w:p>
          <w:p>
            <w:pPr>
              <w:widowControl/>
              <w:numPr>
                <w:ilvl w:val="0"/>
                <w:numId w:val="1"/>
              </w:numPr>
              <w:jc w:val="left"/>
              <w:rPr>
                <w:sz w:val="21"/>
                <w:szCs w:val="21"/>
              </w:rPr>
            </w:pPr>
            <w:r>
              <w:rPr>
                <w:rFonts w:hint="eastAsia"/>
                <w:sz w:val="21"/>
                <w:szCs w:val="21"/>
              </w:rPr>
              <w:t>风险的识别和评价</w:t>
            </w:r>
          </w:p>
          <w:p>
            <w:pPr>
              <w:widowControl/>
              <w:numPr>
                <w:ilvl w:val="0"/>
                <w:numId w:val="1"/>
              </w:numPr>
              <w:jc w:val="left"/>
              <w:rPr>
                <w:sz w:val="21"/>
                <w:szCs w:val="21"/>
              </w:rPr>
            </w:pPr>
            <w:r>
              <w:rPr>
                <w:rFonts w:hint="eastAsia"/>
                <w:sz w:val="21"/>
                <w:szCs w:val="21"/>
              </w:rPr>
              <w:t>组织机构的设置</w:t>
            </w:r>
          </w:p>
          <w:p>
            <w:pPr>
              <w:widowControl/>
              <w:numPr>
                <w:ilvl w:val="0"/>
                <w:numId w:val="1"/>
              </w:numPr>
              <w:jc w:val="left"/>
              <w:rPr>
                <w:sz w:val="21"/>
                <w:szCs w:val="21"/>
              </w:rPr>
            </w:pPr>
            <w:r>
              <w:rPr>
                <w:rFonts w:hint="eastAsia"/>
                <w:sz w:val="21"/>
                <w:szCs w:val="21"/>
              </w:rPr>
              <w:t>外部提供过程、产品和服务</w:t>
            </w:r>
          </w:p>
          <w:p>
            <w:pPr>
              <w:widowControl/>
              <w:numPr>
                <w:ilvl w:val="0"/>
                <w:numId w:val="1"/>
              </w:numPr>
              <w:jc w:val="left"/>
              <w:rPr>
                <w:sz w:val="21"/>
                <w:szCs w:val="21"/>
              </w:rPr>
            </w:pPr>
            <w:r>
              <w:rPr>
                <w:rFonts w:hint="eastAsia"/>
                <w:sz w:val="21"/>
                <w:szCs w:val="21"/>
              </w:rPr>
              <w:t>被主管部门处罚和曝光情况</w:t>
            </w:r>
          </w:p>
          <w:p>
            <w:pPr>
              <w:rPr>
                <w:sz w:val="18"/>
                <w:szCs w:val="18"/>
              </w:rPr>
            </w:pPr>
            <w:r>
              <w:rPr>
                <w:rFonts w:hint="eastAsia"/>
                <w:sz w:val="21"/>
                <w:szCs w:val="21"/>
              </w:rPr>
              <w:t>其他机构转入情况（适用时）</w:t>
            </w:r>
          </w:p>
        </w:tc>
        <w:tc>
          <w:tcPr>
            <w:tcW w:w="1418" w:type="dxa"/>
            <w:tcBorders>
              <w:right w:val="single" w:color="auto" w:sz="8" w:space="0"/>
            </w:tcBorders>
            <w:shd w:val="clear" w:color="auto" w:fill="E6E0EC" w:themeFill="accent4" w:themeFillTint="32"/>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auto"/>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13:00-14:30</w:t>
            </w:r>
          </w:p>
        </w:tc>
        <w:tc>
          <w:tcPr>
            <w:tcW w:w="6095" w:type="dxa"/>
            <w:shd w:val="clear" w:color="auto" w:fill="auto"/>
            <w:vAlign w:val="center"/>
          </w:tcPr>
          <w:p>
            <w:pPr>
              <w:jc w:val="left"/>
              <w:rPr>
                <w:sz w:val="21"/>
                <w:szCs w:val="21"/>
                <w:shd w:val="pct10" w:color="auto" w:fill="FFFFFF"/>
              </w:rPr>
            </w:pPr>
            <w:r>
              <w:rPr>
                <w:rFonts w:hint="eastAsia"/>
                <w:sz w:val="21"/>
                <w:szCs w:val="21"/>
                <w:shd w:val="pct10" w:color="auto" w:fill="FFFFFF"/>
              </w:rPr>
              <w:t>FSMS场所巡查</w:t>
            </w:r>
            <w:r>
              <w:rPr>
                <w:sz w:val="21"/>
                <w:szCs w:val="21"/>
                <w:shd w:val="pct10" w:color="auto" w:fill="FFFFFF"/>
              </w:rPr>
              <w:t>:</w:t>
            </w:r>
          </w:p>
          <w:p>
            <w:pPr>
              <w:widowControl/>
              <w:numPr>
                <w:ilvl w:val="0"/>
                <w:numId w:val="1"/>
              </w:numPr>
              <w:spacing w:before="40"/>
              <w:jc w:val="left"/>
              <w:rPr>
                <w:sz w:val="21"/>
                <w:szCs w:val="21"/>
              </w:rPr>
            </w:pPr>
            <w:r>
              <w:rPr>
                <w:rFonts w:hint="eastAsia"/>
                <w:sz w:val="21"/>
                <w:szCs w:val="21"/>
              </w:rPr>
              <w:t>巡视</w:t>
            </w:r>
            <w:r>
              <w:rPr>
                <w:rFonts w:hint="eastAsia"/>
                <w:sz w:val="21"/>
                <w:szCs w:val="21"/>
                <w:lang w:val="en-US" w:eastAsia="zh-CN"/>
              </w:rPr>
              <w:t>生产加工、原料/成品贮存、实验室、</w:t>
            </w:r>
            <w:r>
              <w:rPr>
                <w:rFonts w:hint="eastAsia"/>
                <w:sz w:val="21"/>
                <w:szCs w:val="21"/>
              </w:rPr>
              <w:t>服务区域</w:t>
            </w:r>
            <w:r>
              <w:rPr>
                <w:rFonts w:hint="eastAsia"/>
                <w:sz w:val="21"/>
                <w:szCs w:val="21"/>
                <w:lang w:val="en-US" w:eastAsia="zh-CN"/>
              </w:rPr>
              <w:t>情况</w:t>
            </w:r>
          </w:p>
          <w:p>
            <w:pPr>
              <w:widowControl/>
              <w:numPr>
                <w:ilvl w:val="0"/>
                <w:numId w:val="1"/>
              </w:numPr>
              <w:spacing w:before="40"/>
              <w:jc w:val="left"/>
              <w:rPr>
                <w:sz w:val="21"/>
                <w:szCs w:val="21"/>
              </w:rPr>
            </w:pPr>
            <w:r>
              <w:rPr>
                <w:rFonts w:hint="eastAsia"/>
                <w:sz w:val="21"/>
                <w:szCs w:val="21"/>
              </w:rPr>
              <w:t>确认生产/服务流程</w:t>
            </w:r>
          </w:p>
          <w:p>
            <w:pPr>
              <w:widowControl/>
              <w:numPr>
                <w:ilvl w:val="0"/>
                <w:numId w:val="1"/>
              </w:numPr>
              <w:spacing w:before="40"/>
              <w:jc w:val="left"/>
              <w:rPr>
                <w:sz w:val="21"/>
                <w:szCs w:val="21"/>
              </w:rPr>
            </w:pPr>
            <w:r>
              <w:rPr>
                <w:rFonts w:hint="eastAsia"/>
                <w:sz w:val="21"/>
                <w:szCs w:val="21"/>
              </w:rPr>
              <w:t>观察基础设施完好并运行（</w:t>
            </w:r>
            <w:r>
              <w:rPr>
                <w:rFonts w:hint="eastAsia"/>
                <w:sz w:val="21"/>
                <w:szCs w:val="21"/>
                <w:lang w:val="en-US" w:eastAsia="zh-CN"/>
              </w:rPr>
              <w:t>主要生产加工设备、仓库、车辆、</w:t>
            </w:r>
            <w:r>
              <w:rPr>
                <w:rFonts w:hint="eastAsia"/>
                <w:sz w:val="21"/>
                <w:szCs w:val="21"/>
              </w:rPr>
              <w:t>员工设施等）</w:t>
            </w:r>
          </w:p>
          <w:p>
            <w:pPr>
              <w:widowControl/>
              <w:numPr>
                <w:ilvl w:val="0"/>
                <w:numId w:val="1"/>
              </w:numPr>
              <w:spacing w:before="40"/>
              <w:jc w:val="left"/>
              <w:rPr>
                <w:sz w:val="21"/>
                <w:szCs w:val="21"/>
              </w:rPr>
            </w:pPr>
            <w:r>
              <w:rPr>
                <w:rFonts w:hint="eastAsia"/>
                <w:sz w:val="21"/>
                <w:szCs w:val="21"/>
              </w:rPr>
              <w:t>观察食品安全相关的监视和测量设备的种类并了解检定/校准情况</w:t>
            </w:r>
          </w:p>
          <w:p>
            <w:pPr>
              <w:widowControl/>
              <w:numPr>
                <w:ilvl w:val="0"/>
                <w:numId w:val="1"/>
              </w:numPr>
              <w:spacing w:before="40"/>
              <w:jc w:val="left"/>
              <w:rPr>
                <w:sz w:val="21"/>
                <w:szCs w:val="21"/>
              </w:rPr>
            </w:pPr>
            <w:r>
              <w:rPr>
                <w:rFonts w:hint="eastAsia"/>
                <w:sz w:val="21"/>
                <w:szCs w:val="21"/>
              </w:rPr>
              <w:t>观察使用特种设备的种类并了解定期检测和备案登记情况</w:t>
            </w:r>
          </w:p>
          <w:p>
            <w:pPr>
              <w:widowControl/>
              <w:numPr>
                <w:ilvl w:val="0"/>
                <w:numId w:val="1"/>
              </w:numPr>
              <w:spacing w:before="40"/>
              <w:jc w:val="left"/>
              <w:rPr>
                <w:sz w:val="21"/>
                <w:szCs w:val="21"/>
              </w:rPr>
            </w:pPr>
            <w:r>
              <w:rPr>
                <w:rFonts w:hint="eastAsia"/>
                <w:sz w:val="21"/>
                <w:szCs w:val="21"/>
              </w:rPr>
              <w:t>观察工作环境（清洁、消毒、虫害防治等）</w:t>
            </w:r>
          </w:p>
          <w:p>
            <w:pPr>
              <w:widowControl/>
              <w:numPr>
                <w:ilvl w:val="0"/>
                <w:numId w:val="1"/>
              </w:numPr>
              <w:spacing w:before="40"/>
              <w:ind w:left="637" w:leftChars="0" w:hanging="360" w:firstLineChars="0"/>
              <w:jc w:val="left"/>
              <w:rPr>
                <w:rFonts w:hint="eastAsia" w:ascii="Times New Roman" w:hAnsi="Times New Roman" w:eastAsia="宋体" w:cs="Times New Roman"/>
                <w:kern w:val="2"/>
                <w:sz w:val="21"/>
                <w:szCs w:val="21"/>
                <w:lang w:val="en-US" w:eastAsia="zh-CN" w:bidi="ar-SA"/>
              </w:rPr>
            </w:pPr>
          </w:p>
        </w:tc>
        <w:tc>
          <w:tcPr>
            <w:tcW w:w="1418" w:type="dxa"/>
            <w:tcBorders>
              <w:righ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18"/>
                <w:szCs w:val="18"/>
                <w:lang w:val="en-US" w:eastAsia="zh-CN" w:bidi="ar-SA"/>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b/>
                <w:sz w:val="18"/>
                <w:szCs w:val="18"/>
                <w:lang w:val="en-US"/>
              </w:rPr>
            </w:pPr>
            <w:r>
              <w:rPr>
                <w:rFonts w:hint="eastAsia"/>
                <w:b/>
                <w:sz w:val="18"/>
                <w:szCs w:val="18"/>
                <w:lang w:val="en-US" w:eastAsia="zh-CN"/>
              </w:rPr>
              <w:t>14:30-15:00</w:t>
            </w:r>
          </w:p>
        </w:tc>
        <w:tc>
          <w:tcPr>
            <w:tcW w:w="6095" w:type="dxa"/>
            <w:shd w:val="clear" w:color="auto" w:fill="DBEEF3" w:themeFill="accent5" w:themeFillTint="32"/>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1"/>
              </w:numPr>
              <w:tabs>
                <w:tab w:val="left" w:pos="720"/>
              </w:tabs>
              <w:spacing w:before="40"/>
              <w:jc w:val="left"/>
              <w:rPr>
                <w:sz w:val="21"/>
                <w:szCs w:val="21"/>
              </w:rPr>
            </w:pPr>
            <w:r>
              <w:rPr>
                <w:rFonts w:hint="eastAsia"/>
                <w:sz w:val="21"/>
                <w:szCs w:val="21"/>
              </w:rPr>
              <w:t>管理方针制定与贯彻情况</w:t>
            </w:r>
          </w:p>
          <w:p>
            <w:pPr>
              <w:widowControl/>
              <w:numPr>
                <w:ilvl w:val="0"/>
                <w:numId w:val="1"/>
              </w:numPr>
              <w:tabs>
                <w:tab w:val="left" w:pos="720"/>
              </w:tabs>
              <w:spacing w:before="40"/>
              <w:jc w:val="left"/>
              <w:rPr>
                <w:sz w:val="21"/>
                <w:szCs w:val="21"/>
              </w:rPr>
            </w:pPr>
            <w:r>
              <w:rPr>
                <w:rFonts w:hint="eastAsia"/>
                <w:sz w:val="21"/>
                <w:szCs w:val="21"/>
              </w:rPr>
              <w:t>管理目标及完成统计</w:t>
            </w:r>
          </w:p>
          <w:p>
            <w:pPr>
              <w:widowControl/>
              <w:numPr>
                <w:ilvl w:val="0"/>
                <w:numId w:val="1"/>
              </w:numPr>
              <w:tabs>
                <w:tab w:val="left" w:pos="720"/>
              </w:tabs>
              <w:jc w:val="left"/>
              <w:rPr>
                <w:sz w:val="21"/>
                <w:szCs w:val="21"/>
              </w:rPr>
            </w:pPr>
            <w:r>
              <w:rPr>
                <w:rFonts w:hint="eastAsia"/>
                <w:sz w:val="21"/>
                <w:szCs w:val="21"/>
              </w:rPr>
              <w:t>员工对相关标准的认知和能力（贯标培训、应知应会、持证上岗等）</w:t>
            </w:r>
          </w:p>
          <w:p>
            <w:pPr>
              <w:widowControl/>
              <w:numPr>
                <w:ilvl w:val="0"/>
                <w:numId w:val="1"/>
              </w:numPr>
              <w:tabs>
                <w:tab w:val="left" w:pos="720"/>
              </w:tabs>
              <w:spacing w:before="40"/>
              <w:jc w:val="left"/>
              <w:rPr>
                <w:sz w:val="21"/>
                <w:szCs w:val="21"/>
              </w:rPr>
            </w:pPr>
            <w:r>
              <w:rPr>
                <w:rFonts w:hint="eastAsia"/>
                <w:sz w:val="21"/>
                <w:szCs w:val="21"/>
              </w:rPr>
              <w:t>相关方/客户的反馈</w:t>
            </w:r>
          </w:p>
          <w:p>
            <w:pPr>
              <w:widowControl/>
              <w:numPr>
                <w:ilvl w:val="0"/>
                <w:numId w:val="1"/>
              </w:numPr>
              <w:tabs>
                <w:tab w:val="left" w:pos="720"/>
              </w:tabs>
              <w:spacing w:before="40"/>
              <w:jc w:val="left"/>
              <w:rPr>
                <w:sz w:val="21"/>
                <w:szCs w:val="21"/>
              </w:rPr>
            </w:pPr>
            <w:r>
              <w:rPr>
                <w:rFonts w:hint="eastAsia"/>
                <w:sz w:val="21"/>
                <w:szCs w:val="21"/>
              </w:rPr>
              <w:t>内审的策划和实施</w:t>
            </w:r>
          </w:p>
          <w:p>
            <w:pPr>
              <w:widowControl/>
              <w:numPr>
                <w:ilvl w:val="0"/>
                <w:numId w:val="1"/>
              </w:numPr>
              <w:tabs>
                <w:tab w:val="left" w:pos="720"/>
              </w:tabs>
              <w:spacing w:before="40"/>
              <w:jc w:val="left"/>
              <w:rPr>
                <w:sz w:val="21"/>
                <w:szCs w:val="21"/>
              </w:rPr>
            </w:pPr>
            <w:r>
              <w:rPr>
                <w:rFonts w:hint="eastAsia"/>
                <w:sz w:val="21"/>
                <w:szCs w:val="21"/>
              </w:rPr>
              <w:t>管理体系的评审</w:t>
            </w:r>
            <w:r>
              <w:rPr>
                <w:rFonts w:hint="eastAsia"/>
                <w:sz w:val="21"/>
                <w:szCs w:val="21"/>
                <w:lang w:val="en-US" w:eastAsia="zh-CN"/>
              </w:rPr>
              <w:t>情况</w:t>
            </w:r>
          </w:p>
          <w:p>
            <w:pPr>
              <w:widowControl/>
              <w:numPr>
                <w:ilvl w:val="0"/>
                <w:numId w:val="1"/>
              </w:numPr>
              <w:tabs>
                <w:tab w:val="left" w:pos="720"/>
              </w:tabs>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1"/>
              </w:numPr>
              <w:tabs>
                <w:tab w:val="left" w:pos="720"/>
              </w:tabs>
              <w:spacing w:before="40"/>
              <w:jc w:val="left"/>
              <w:rPr>
                <w:sz w:val="21"/>
                <w:szCs w:val="21"/>
              </w:rPr>
            </w:pPr>
            <w:r>
              <w:rPr>
                <w:rFonts w:hint="eastAsia"/>
                <w:sz w:val="21"/>
                <w:szCs w:val="21"/>
              </w:rPr>
              <w:t>识别二阶段审核的资源配置情况和可行性</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DBEEF3" w:themeFill="accent5" w:themeFillTint="32"/>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15:00-15:30</w:t>
            </w:r>
          </w:p>
        </w:tc>
        <w:tc>
          <w:tcPr>
            <w:tcW w:w="6095" w:type="dxa"/>
            <w:shd w:val="clear" w:color="auto" w:fill="DBEEF3" w:themeFill="accent5" w:themeFillTint="32"/>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numPr>
                <w:ilvl w:val="0"/>
                <w:numId w:val="1"/>
              </w:numPr>
              <w:jc w:val="left"/>
              <w:rPr>
                <w:sz w:val="21"/>
                <w:szCs w:val="21"/>
              </w:rPr>
            </w:pPr>
            <w:r>
              <w:rPr>
                <w:rFonts w:hint="eastAsia"/>
                <w:sz w:val="21"/>
                <w:szCs w:val="21"/>
              </w:rPr>
              <w:t>管理手册；</w:t>
            </w:r>
          </w:p>
          <w:p>
            <w:pPr>
              <w:widowControl/>
              <w:numPr>
                <w:ilvl w:val="0"/>
                <w:numId w:val="1"/>
              </w:numPr>
              <w:jc w:val="left"/>
              <w:rPr>
                <w:sz w:val="21"/>
                <w:szCs w:val="21"/>
              </w:rPr>
            </w:pPr>
            <w:r>
              <w:rPr>
                <w:rFonts w:hint="eastAsia"/>
                <w:sz w:val="21"/>
                <w:szCs w:val="21"/>
              </w:rPr>
              <w:t>文件化的程序；</w:t>
            </w:r>
          </w:p>
          <w:p>
            <w:pPr>
              <w:widowControl/>
              <w:numPr>
                <w:ilvl w:val="0"/>
                <w:numId w:val="1"/>
              </w:numPr>
              <w:jc w:val="left"/>
              <w:rPr>
                <w:sz w:val="21"/>
                <w:szCs w:val="21"/>
              </w:rPr>
            </w:pPr>
            <w:r>
              <w:rPr>
                <w:rFonts w:hint="eastAsia"/>
                <w:sz w:val="21"/>
                <w:szCs w:val="21"/>
              </w:rPr>
              <w:t>作业文件；</w:t>
            </w:r>
          </w:p>
          <w:p>
            <w:pPr>
              <w:widowControl/>
              <w:numPr>
                <w:ilvl w:val="0"/>
                <w:numId w:val="1"/>
              </w:numPr>
              <w:tabs>
                <w:tab w:val="clear" w:pos="637"/>
              </w:tabs>
              <w:ind w:left="637" w:leftChars="0" w:hanging="360" w:firstLineChars="0"/>
              <w:jc w:val="left"/>
              <w:rPr>
                <w:rFonts w:hint="eastAsia" w:ascii="Times New Roman" w:hAnsi="Times New Roman" w:eastAsia="宋体" w:cs="Times New Roman"/>
                <w:kern w:val="2"/>
                <w:sz w:val="24"/>
                <w:szCs w:val="18"/>
                <w:lang w:val="en-US" w:eastAsia="zh-CN" w:bidi="ar-SA"/>
              </w:rPr>
            </w:pPr>
            <w:r>
              <w:rPr>
                <w:rFonts w:hint="eastAsia"/>
                <w:sz w:val="21"/>
                <w:szCs w:val="21"/>
              </w:rPr>
              <w:t>记录表格</w:t>
            </w:r>
          </w:p>
        </w:tc>
        <w:tc>
          <w:tcPr>
            <w:tcW w:w="1418" w:type="dxa"/>
            <w:tcBorders>
              <w:right w:val="single" w:color="auto" w:sz="8" w:space="0"/>
            </w:tcBorders>
            <w:shd w:val="clear" w:color="auto" w:fill="DBEEF3" w:themeFill="accent5" w:themeFillTint="32"/>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E6E0EC" w:themeFill="accent4" w:themeFillTint="32"/>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ascii="Times New Roman" w:hAnsi="Times New Roman" w:cs="Times New Roman"/>
                <w:b/>
                <w:kern w:val="2"/>
                <w:sz w:val="18"/>
                <w:szCs w:val="18"/>
                <w:lang w:val="en-US" w:eastAsia="zh-CN" w:bidi="ar-SA"/>
              </w:rPr>
              <w:t>1</w:t>
            </w:r>
            <w:r>
              <w:rPr>
                <w:rFonts w:hint="eastAsia" w:cs="Times New Roman"/>
                <w:b/>
                <w:kern w:val="2"/>
                <w:sz w:val="18"/>
                <w:szCs w:val="18"/>
                <w:lang w:val="en-US" w:eastAsia="zh-CN" w:bidi="ar-SA"/>
              </w:rPr>
              <w:t>4:30-15:30</w:t>
            </w:r>
          </w:p>
        </w:tc>
        <w:tc>
          <w:tcPr>
            <w:tcW w:w="6095" w:type="dxa"/>
            <w:shd w:val="clear" w:color="auto" w:fill="E6E0EC" w:themeFill="accent4" w:themeFillTint="32"/>
            <w:vAlign w:val="center"/>
          </w:tcPr>
          <w:p>
            <w:pPr>
              <w:rPr>
                <w:sz w:val="21"/>
                <w:szCs w:val="21"/>
              </w:rPr>
            </w:pPr>
            <w:r>
              <w:rPr>
                <w:rFonts w:hint="eastAsia"/>
                <w:sz w:val="21"/>
                <w:szCs w:val="21"/>
                <w:shd w:val="pct10" w:color="auto" w:fill="FFFFFF"/>
              </w:rPr>
              <w:t>FSMS运行情况：</w:t>
            </w:r>
          </w:p>
          <w:p>
            <w:pPr>
              <w:pStyle w:val="8"/>
              <w:numPr>
                <w:ilvl w:val="0"/>
                <w:numId w:val="1"/>
              </w:numPr>
              <w:tabs>
                <w:tab w:val="left" w:pos="720"/>
              </w:tabs>
              <w:ind w:firstLineChars="0"/>
              <w:rPr>
                <w:sz w:val="21"/>
                <w:szCs w:val="21"/>
              </w:rPr>
            </w:pPr>
            <w:r>
              <w:rPr>
                <w:rFonts w:hint="eastAsia"/>
                <w:sz w:val="21"/>
                <w:szCs w:val="21"/>
              </w:rPr>
              <w:t>查看食品安全危害识别的充分性和评估的合理性</w:t>
            </w:r>
          </w:p>
          <w:p>
            <w:pPr>
              <w:pStyle w:val="8"/>
              <w:numPr>
                <w:ilvl w:val="0"/>
                <w:numId w:val="1"/>
              </w:numPr>
              <w:tabs>
                <w:tab w:val="left" w:pos="720"/>
              </w:tabs>
              <w:ind w:firstLineChars="0"/>
              <w:rPr>
                <w:sz w:val="21"/>
                <w:szCs w:val="21"/>
              </w:rPr>
            </w:pPr>
            <w:r>
              <w:rPr>
                <w:rFonts w:hint="eastAsia"/>
                <w:sz w:val="21"/>
                <w:szCs w:val="21"/>
              </w:rPr>
              <w:t>查看人流、物流、水流、气流的合理性</w:t>
            </w:r>
          </w:p>
          <w:p>
            <w:pPr>
              <w:pStyle w:val="8"/>
              <w:numPr>
                <w:ilvl w:val="0"/>
                <w:numId w:val="1"/>
              </w:numPr>
              <w:tabs>
                <w:tab w:val="left" w:pos="720"/>
              </w:tabs>
              <w:ind w:firstLineChars="0"/>
              <w:rPr>
                <w:sz w:val="21"/>
                <w:szCs w:val="21"/>
              </w:rPr>
            </w:pPr>
            <w:r>
              <w:rPr>
                <w:rFonts w:hint="eastAsia"/>
                <w:sz w:val="21"/>
                <w:szCs w:val="21"/>
              </w:rPr>
              <w:t>查看PRP、OPRP和HACCP计划（仅限FSMS）</w:t>
            </w:r>
          </w:p>
          <w:p>
            <w:pPr>
              <w:pStyle w:val="8"/>
              <w:numPr>
                <w:ilvl w:val="0"/>
                <w:numId w:val="1"/>
              </w:numPr>
              <w:tabs>
                <w:tab w:val="left" w:pos="720"/>
              </w:tabs>
              <w:ind w:firstLineChars="0"/>
              <w:rPr>
                <w:sz w:val="21"/>
                <w:szCs w:val="21"/>
              </w:rPr>
            </w:pPr>
            <w:r>
              <w:rPr>
                <w:rFonts w:hint="eastAsia"/>
                <w:sz w:val="21"/>
                <w:szCs w:val="21"/>
              </w:rPr>
              <w:t>了解食品安全的关键控制点、关键限值</w:t>
            </w:r>
            <w:r>
              <w:rPr>
                <w:sz w:val="21"/>
                <w:szCs w:val="21"/>
              </w:rPr>
              <w:t>的确定</w:t>
            </w:r>
            <w:r>
              <w:rPr>
                <w:rFonts w:hint="eastAsia"/>
                <w:sz w:val="21"/>
                <w:szCs w:val="21"/>
              </w:rPr>
              <w:t>及</w:t>
            </w:r>
            <w:r>
              <w:rPr>
                <w:sz w:val="21"/>
                <w:szCs w:val="21"/>
              </w:rPr>
              <w:t>其支持性证据。</w:t>
            </w:r>
          </w:p>
          <w:p>
            <w:pPr>
              <w:pStyle w:val="8"/>
              <w:numPr>
                <w:ilvl w:val="0"/>
                <w:numId w:val="1"/>
              </w:numPr>
              <w:tabs>
                <w:tab w:val="left" w:pos="720"/>
              </w:tabs>
              <w:ind w:firstLineChars="0"/>
              <w:rPr>
                <w:sz w:val="21"/>
                <w:szCs w:val="21"/>
                <w:shd w:val="pct10" w:color="auto" w:fill="FFFFFF"/>
              </w:rPr>
            </w:pPr>
            <w:r>
              <w:rPr>
                <w:rFonts w:hint="eastAsia"/>
                <w:sz w:val="21"/>
                <w:szCs w:val="21"/>
              </w:rPr>
              <w:t>了解员工的健康（证）的情况；</w:t>
            </w:r>
          </w:p>
          <w:p>
            <w:pPr>
              <w:pStyle w:val="8"/>
              <w:numPr>
                <w:ilvl w:val="0"/>
                <w:numId w:val="1"/>
              </w:numPr>
              <w:tabs>
                <w:tab w:val="left" w:pos="720"/>
              </w:tabs>
              <w:ind w:firstLineChars="0"/>
              <w:rPr>
                <w:sz w:val="21"/>
                <w:szCs w:val="21"/>
              </w:rPr>
            </w:pPr>
            <w:r>
              <w:rPr>
                <w:rFonts w:hint="eastAsia"/>
                <w:sz w:val="21"/>
                <w:szCs w:val="21"/>
              </w:rPr>
              <w:t>了解适用的食品安全法律（产品执行的标准或技术要求）和其他要求的获取、识别程序实施情况和合规性评价</w:t>
            </w:r>
          </w:p>
          <w:p>
            <w:pPr>
              <w:pStyle w:val="8"/>
              <w:numPr>
                <w:ilvl w:val="0"/>
                <w:numId w:val="1"/>
              </w:numPr>
              <w:tabs>
                <w:tab w:val="left" w:pos="720"/>
              </w:tabs>
              <w:ind w:firstLineChars="0"/>
              <w:rPr>
                <w:sz w:val="21"/>
                <w:szCs w:val="21"/>
              </w:rPr>
            </w:pPr>
            <w:r>
              <w:rPr>
                <w:rFonts w:hint="eastAsia"/>
                <w:sz w:val="21"/>
                <w:szCs w:val="21"/>
              </w:rPr>
              <w:t>控制措施的确认、活动的验证和改进方案符合食品安全管理体系标准的要求</w:t>
            </w:r>
            <w:r>
              <w:rPr>
                <w:sz w:val="21"/>
                <w:szCs w:val="21"/>
              </w:rPr>
              <w:t>;</w:t>
            </w:r>
          </w:p>
          <w:p>
            <w:pPr>
              <w:pStyle w:val="8"/>
              <w:numPr>
                <w:ilvl w:val="0"/>
                <w:numId w:val="1"/>
              </w:numPr>
              <w:tabs>
                <w:tab w:val="left" w:pos="720"/>
              </w:tabs>
              <w:ind w:firstLineChars="0"/>
              <w:rPr>
                <w:sz w:val="21"/>
                <w:szCs w:val="21"/>
              </w:rPr>
            </w:pPr>
            <w:r>
              <w:rPr>
                <w:rFonts w:hint="eastAsia"/>
                <w:sz w:val="21"/>
                <w:szCs w:val="21"/>
              </w:rPr>
              <w:t>食品安全管理体系的文件和安排适合内部沟通和与相关供应商、顾客、利益相关方的沟通</w:t>
            </w:r>
            <w:r>
              <w:rPr>
                <w:sz w:val="21"/>
                <w:szCs w:val="21"/>
              </w:rPr>
              <w:t>;</w:t>
            </w:r>
          </w:p>
          <w:p>
            <w:pPr>
              <w:pStyle w:val="8"/>
              <w:numPr>
                <w:ilvl w:val="0"/>
                <w:numId w:val="1"/>
              </w:numPr>
              <w:tabs>
                <w:tab w:val="left" w:pos="720"/>
              </w:tabs>
              <w:ind w:firstLineChars="0"/>
              <w:rPr>
                <w:sz w:val="21"/>
                <w:szCs w:val="21"/>
              </w:rPr>
            </w:pPr>
            <w:r>
              <w:rPr>
                <w:rFonts w:hint="eastAsia"/>
                <w:sz w:val="21"/>
                <w:szCs w:val="21"/>
              </w:rPr>
              <w:t>标识、追溯计划和产品召回/撤回</w:t>
            </w:r>
          </w:p>
          <w:p>
            <w:pPr>
              <w:pStyle w:val="8"/>
              <w:numPr>
                <w:ilvl w:val="0"/>
                <w:numId w:val="1"/>
              </w:numPr>
              <w:tabs>
                <w:tab w:val="left" w:pos="720"/>
              </w:tabs>
              <w:ind w:firstLineChars="0"/>
              <w:rPr>
                <w:sz w:val="21"/>
                <w:szCs w:val="21"/>
              </w:rPr>
            </w:pPr>
            <w:r>
              <w:rPr>
                <w:rFonts w:hint="eastAsia"/>
                <w:sz w:val="21"/>
                <w:szCs w:val="21"/>
              </w:rPr>
              <w:t>查看产品食品安全性检验的证据（报告）</w:t>
            </w:r>
          </w:p>
          <w:p>
            <w:pPr>
              <w:pStyle w:val="8"/>
              <w:numPr>
                <w:ilvl w:val="0"/>
                <w:numId w:val="1"/>
              </w:numPr>
              <w:tabs>
                <w:tab w:val="left" w:pos="720"/>
              </w:tabs>
              <w:ind w:firstLineChars="0"/>
              <w:rPr>
                <w:sz w:val="21"/>
                <w:szCs w:val="21"/>
              </w:rPr>
            </w:pPr>
            <w:r>
              <w:rPr>
                <w:rFonts w:hAnsi="方正仿宋简体"/>
                <w:sz w:val="21"/>
                <w:szCs w:val="21"/>
              </w:rPr>
              <w:t>充分识别委托加工等生产活动对食品安全的影响程度；</w:t>
            </w:r>
          </w:p>
          <w:p>
            <w:pPr>
              <w:pStyle w:val="8"/>
              <w:numPr>
                <w:ilvl w:val="0"/>
                <w:numId w:val="1"/>
              </w:numPr>
              <w:tabs>
                <w:tab w:val="left" w:pos="720"/>
              </w:tabs>
              <w:ind w:firstLineChars="0"/>
              <w:rPr>
                <w:sz w:val="21"/>
                <w:szCs w:val="21"/>
              </w:rPr>
            </w:pPr>
            <w:r>
              <w:rPr>
                <w:rFonts w:hint="eastAsia"/>
                <w:sz w:val="21"/>
                <w:szCs w:val="21"/>
              </w:rPr>
              <w:t>了解消费者投诉处理</w:t>
            </w:r>
          </w:p>
          <w:p>
            <w:pPr>
              <w:pStyle w:val="8"/>
              <w:numPr>
                <w:ilvl w:val="0"/>
                <w:numId w:val="1"/>
              </w:numPr>
              <w:tabs>
                <w:tab w:val="left" w:pos="720"/>
              </w:tabs>
              <w:ind w:firstLineChars="0"/>
              <w:rPr>
                <w:sz w:val="21"/>
                <w:szCs w:val="21"/>
              </w:rPr>
            </w:pPr>
            <w:r>
              <w:rPr>
                <w:rFonts w:hint="eastAsia"/>
                <w:sz w:val="21"/>
                <w:szCs w:val="21"/>
              </w:rPr>
              <w:t>了解</w:t>
            </w:r>
            <w:r>
              <w:rPr>
                <w:sz w:val="21"/>
                <w:szCs w:val="21"/>
              </w:rPr>
              <w:t>应急准备和响应情况</w:t>
            </w:r>
            <w:r>
              <w:rPr>
                <w:rFonts w:hint="eastAsia"/>
                <w:sz w:val="21"/>
                <w:szCs w:val="21"/>
                <w:lang w:val="en-US" w:eastAsia="zh-CN"/>
              </w:rPr>
              <w:t>等</w:t>
            </w:r>
          </w:p>
          <w:p>
            <w:pPr>
              <w:pStyle w:val="8"/>
              <w:numPr>
                <w:ilvl w:val="0"/>
                <w:numId w:val="1"/>
              </w:numPr>
              <w:tabs>
                <w:tab w:val="left" w:pos="720"/>
              </w:tabs>
              <w:ind w:left="637" w:leftChars="0" w:hanging="360" w:firstLineChars="0"/>
              <w:rPr>
                <w:rFonts w:hint="eastAsia" w:ascii="Times New Roman" w:hAnsi="Times New Roman" w:eastAsia="宋体" w:cs="Times New Roman"/>
                <w:kern w:val="2"/>
                <w:sz w:val="21"/>
                <w:szCs w:val="21"/>
                <w:lang w:val="en-US" w:eastAsia="zh-CN" w:bidi="ar-SA"/>
              </w:rPr>
            </w:pPr>
          </w:p>
        </w:tc>
        <w:tc>
          <w:tcPr>
            <w:tcW w:w="1418" w:type="dxa"/>
            <w:tcBorders>
              <w:right w:val="single" w:color="auto" w:sz="8" w:space="0"/>
            </w:tcBorders>
            <w:shd w:val="clear" w:color="auto" w:fill="E6E0EC" w:themeFill="accent4" w:themeFillTint="32"/>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277"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417" w:type="dxa"/>
            <w:shd w:val="clear" w:color="auto" w:fill="FFFFFF" w:themeFill="background1"/>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15:30-16:00</w:t>
            </w:r>
          </w:p>
        </w:tc>
        <w:tc>
          <w:tcPr>
            <w:tcW w:w="6095" w:type="dxa"/>
            <w:shd w:val="clear" w:color="auto" w:fill="FFFFFF" w:themeFill="background1"/>
            <w:vAlign w:val="center"/>
          </w:tcPr>
          <w:p>
            <w:pPr>
              <w:widowControl/>
              <w:numPr>
                <w:ilvl w:val="0"/>
                <w:numId w:val="2"/>
              </w:numPr>
              <w:spacing w:before="40"/>
              <w:jc w:val="left"/>
              <w:rPr>
                <w:rFonts w:hint="eastAsia"/>
                <w:sz w:val="21"/>
                <w:szCs w:val="21"/>
              </w:rPr>
            </w:pPr>
            <w:r>
              <w:rPr>
                <w:rFonts w:hint="eastAsia"/>
                <w:sz w:val="21"/>
                <w:szCs w:val="21"/>
              </w:rPr>
              <w:t>末次会议</w:t>
            </w:r>
          </w:p>
          <w:p>
            <w:pPr>
              <w:widowControl/>
              <w:numPr>
                <w:ilvl w:val="0"/>
                <w:numId w:val="2"/>
              </w:numPr>
              <w:spacing w:before="40"/>
              <w:ind w:left="720" w:leftChars="0" w:hanging="360" w:firstLineChars="0"/>
              <w:jc w:val="left"/>
              <w:rPr>
                <w:rFonts w:hint="eastAsia" w:ascii="Times New Roman" w:hAnsi="Times New Roman" w:eastAsia="宋体" w:cs="Times New Roman"/>
                <w:kern w:val="2"/>
                <w:sz w:val="18"/>
                <w:szCs w:val="18"/>
                <w:lang w:val="en-US" w:eastAsia="zh-CN" w:bidi="ar-SA"/>
              </w:rPr>
            </w:pPr>
            <w:r>
              <w:rPr>
                <w:rFonts w:hint="eastAsia"/>
                <w:sz w:val="21"/>
                <w:szCs w:val="21"/>
              </w:rPr>
              <w:t>汇报审核发现，提出整改要求</w:t>
            </w:r>
          </w:p>
        </w:tc>
        <w:tc>
          <w:tcPr>
            <w:tcW w:w="1418" w:type="dxa"/>
            <w:tcBorders>
              <w:right w:val="single" w:color="auto" w:sz="8" w:space="0"/>
            </w:tcBorders>
            <w:shd w:val="clear" w:color="auto" w:fill="FFFFFF" w:themeFill="background1"/>
            <w:vAlign w:val="center"/>
          </w:tcPr>
          <w:p>
            <w:pPr>
              <w:snapToGrid w:val="0"/>
              <w:spacing w:line="280" w:lineRule="exact"/>
              <w:jc w:val="center"/>
              <w:rPr>
                <w:rFonts w:hint="eastAsia"/>
                <w:b/>
                <w:sz w:val="18"/>
                <w:szCs w:val="18"/>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277"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417" w:type="dxa"/>
            <w:shd w:val="clear" w:color="auto" w:fill="auto"/>
            <w:vAlign w:val="center"/>
          </w:tcPr>
          <w:p>
            <w:pPr>
              <w:snapToGrid w:val="0"/>
              <w:spacing w:line="280" w:lineRule="exact"/>
              <w:jc w:val="center"/>
              <w:rPr>
                <w:rFonts w:hint="default" w:ascii="Times New Roman" w:hAnsi="Times New Roman" w:eastAsia="宋体" w:cs="Times New Roman"/>
                <w:b/>
                <w:kern w:val="2"/>
                <w:sz w:val="18"/>
                <w:szCs w:val="18"/>
                <w:lang w:val="en-US" w:eastAsia="zh-CN" w:bidi="ar-SA"/>
              </w:rPr>
            </w:pPr>
            <w:r>
              <w:rPr>
                <w:rFonts w:hint="eastAsia" w:cs="Times New Roman"/>
                <w:b/>
                <w:kern w:val="2"/>
                <w:sz w:val="18"/>
                <w:szCs w:val="18"/>
                <w:lang w:val="en-US" w:eastAsia="zh-CN" w:bidi="ar-SA"/>
              </w:rPr>
              <w:t>16:00</w:t>
            </w:r>
          </w:p>
        </w:tc>
        <w:tc>
          <w:tcPr>
            <w:tcW w:w="6095" w:type="dxa"/>
            <w:shd w:val="clear" w:color="auto" w:fill="auto"/>
            <w:vAlign w:val="center"/>
          </w:tcPr>
          <w:p>
            <w:pPr>
              <w:widowControl/>
              <w:numPr>
                <w:ilvl w:val="0"/>
                <w:numId w:val="2"/>
              </w:numPr>
              <w:spacing w:before="40"/>
              <w:jc w:val="left"/>
              <w:rPr>
                <w:rFonts w:ascii="Times New Roman" w:hAnsi="Times New Roman" w:eastAsia="宋体" w:cs="Times New Roman"/>
                <w:kern w:val="2"/>
                <w:sz w:val="18"/>
                <w:szCs w:val="18"/>
                <w:lang w:val="en-US" w:eastAsia="zh-CN" w:bidi="ar-SA"/>
              </w:rPr>
            </w:pPr>
            <w:r>
              <w:rPr>
                <w:rFonts w:hint="eastAsia"/>
                <w:sz w:val="21"/>
                <w:szCs w:val="21"/>
                <w:lang w:val="en-US" w:eastAsia="zh-CN"/>
              </w:rPr>
              <w:t>审核结束</w:t>
            </w:r>
          </w:p>
        </w:tc>
        <w:tc>
          <w:tcPr>
            <w:tcW w:w="1418" w:type="dxa"/>
            <w:tcBorders>
              <w:right w:val="single" w:color="auto" w:sz="8" w:space="0"/>
            </w:tcBorders>
            <w:shd w:val="clear" w:color="auto" w:fill="auto"/>
            <w:vAlign w:val="center"/>
          </w:tcPr>
          <w:p>
            <w:pPr>
              <w:snapToGrid w:val="0"/>
              <w:spacing w:line="280" w:lineRule="exact"/>
              <w:jc w:val="center"/>
              <w:rPr>
                <w:b/>
                <w:sz w:val="18"/>
                <w:szCs w:val="18"/>
              </w:rPr>
            </w:pPr>
            <w:r>
              <w:rPr>
                <w:rFonts w:hint="eastAsia"/>
                <w:b/>
                <w:sz w:val="18"/>
                <w:szCs w:val="18"/>
                <w:lang w:val="en-US" w:eastAsia="zh-CN"/>
              </w:rPr>
              <w:t>AB</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1">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66327C"/>
    <w:rsid w:val="34C84965"/>
    <w:rsid w:val="42F464D0"/>
    <w:rsid w:val="46FF60D9"/>
    <w:rsid w:val="4B9157AA"/>
    <w:rsid w:val="7E887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1"/>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15</TotalTime>
  <ScaleCrop>false</ScaleCrop>
  <LinksUpToDate>false</LinksUpToDate>
  <CharactersWithSpaces>3682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肖新龙</cp:lastModifiedBy>
  <cp:lastPrinted>2019-03-27T03:10:00Z</cp:lastPrinted>
  <dcterms:modified xsi:type="dcterms:W3CDTF">2021-10-17T07:17:55Z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2052-11.1.0.10938</vt:lpwstr>
  </property>
</Properties>
</file>