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790"/>
        <w:gridCol w:w="291"/>
        <w:gridCol w:w="1553"/>
        <w:gridCol w:w="553"/>
        <w:gridCol w:w="149"/>
        <w:gridCol w:w="1159"/>
        <w:gridCol w:w="296"/>
        <w:gridCol w:w="502"/>
        <w:gridCol w:w="1123"/>
        <w:gridCol w:w="9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65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四川国际招标有限责任公司</w:t>
            </w:r>
            <w:bookmarkEnd w:id="7"/>
          </w:p>
        </w:tc>
        <w:tc>
          <w:tcPr>
            <w:tcW w:w="7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063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Q：29.12.00;34.01.02;34.06.00;35.04.02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E：29.12.00;34.01.02;34.06.00;35.04.02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O：29.12.00;34.01.02;34.06.00;35.04.02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0"/>
                <w:lang w:val="en-US" w:eastAsia="zh-CN"/>
              </w:rPr>
              <w:t>杨珍全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40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Q:29.12.00,34.06.00,35.04.02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E:29.12.00,34.06.00,35.04.02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O:29.12.00,34.01.02,34.06.00,35.04.02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  <w:jc w:val="center"/>
        </w:trPr>
        <w:tc>
          <w:tcPr>
            <w:tcW w:w="22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  <w:lang w:val="de-DE"/>
              </w:rPr>
              <w:t>张心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40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Q:29.12.00,34.01.02,34.06.00</w:t>
            </w: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22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  <w:lang w:val="de-DE"/>
              </w:rPr>
              <w:t>宋明珠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40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E:29.12.00,34.01.02,34.06.00,35.04.02</w:t>
            </w: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21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招标代理：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项目立项——开标文件编制——开标公告——文件发售——开标邀请——组织评标委员会——开标组织——开标评审——开标结果确认——开标结果公示——采购合同——备案——归档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进出口代理流程：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合同签订——代理清关事宜——提货——交货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咨询服务流程：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合同签订——需求分析——方案拟定——咨询实施——效果评估。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服务过程为关键过程。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主要质量要求：文件编制、方案、效果评估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关键控制点：服务过程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潜在火灾、固废排放，通过管理方案和应急预案控制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火灾导致人身伤害、交通事故，通过管理方案和应急预案控制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政府采购公开（邀请）招标操作规程（</w:t>
            </w:r>
            <w:r>
              <w:fldChar w:fldCharType="begin"/>
            </w:r>
            <w:r>
              <w:instrText xml:space="preserve"> HYPERLINK "http://www.csres.com/detail/266747.html" \t "http://www.csres.com/_blank"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DB51/T 1945-2014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）、工程建设公开（邀请）招标操作规程（</w:t>
            </w:r>
            <w:r>
              <w:fldChar w:fldCharType="begin"/>
            </w:r>
            <w:r>
              <w:instrText xml:space="preserve"> HYPERLINK "http://www.csres.com/detail/266750.html" \t "http://www.csres.com/_blank"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DB51/T 1948-2014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）、房屋建筑和市政工程项目电子招标投标系统技术标准（</w:t>
            </w:r>
            <w:r>
              <w:fldChar w:fldCharType="begin"/>
            </w:r>
            <w:r>
              <w:instrText xml:space="preserve"> HYPERLINK "http://www.csres.com/detail/295395.html" \t "http://www.csres.com/_blank"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JGJ/T 393-2017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）、国际货运代理作业规范（</w:t>
            </w:r>
            <w:r>
              <w:fldChar w:fldCharType="begin"/>
            </w:r>
            <w:r>
              <w:instrText xml:space="preserve"> HYPERLINK "http://www.csres.com/detail/192974.html" \t "http://www.csres.com/_blank"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GB/T 22151-2008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）、国际货运代理服务质量要求(</w:t>
            </w:r>
            <w:r>
              <w:fldChar w:fldCharType="begin"/>
            </w:r>
            <w:r>
              <w:instrText xml:space="preserve"> HYPERLINK "http://www.csres.com/detail/192977.html" \t "http://www.csres.com/_blank"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GB/T 22154-2008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)等标准。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招标、咨询过程监控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36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ragraph">
                    <wp:posOffset>186690</wp:posOffset>
                  </wp:positionV>
                  <wp:extent cx="812165" cy="275590"/>
                  <wp:effectExtent l="0" t="0" r="10795" b="1397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92710</wp:posOffset>
                  </wp:positionV>
                  <wp:extent cx="583565" cy="441960"/>
                  <wp:effectExtent l="0" t="0" r="10795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173355</wp:posOffset>
                  </wp:positionV>
                  <wp:extent cx="745490" cy="367030"/>
                  <wp:effectExtent l="0" t="0" r="1270" b="1397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365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212090</wp:posOffset>
                  </wp:positionV>
                  <wp:extent cx="812800" cy="400050"/>
                  <wp:effectExtent l="0" t="0" r="10160" b="11430"/>
                  <wp:wrapNone/>
                  <wp:docPr id="3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ascii="宋体"/>
          <w:b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456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pBdr>
        <w:bottom w:val="none" w:color="auto" w:sz="0" w:space="0"/>
      </w:pBdr>
      <w:tabs>
        <w:tab w:val="left" w:pos="8910"/>
        <w:tab w:val="left" w:pos="9142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spacing w:after="0" w:line="320" w:lineRule="exact"/>
      <w:ind w:left="-98" w:leftChars="-41" w:firstLine="810" w:firstLineChars="450"/>
      <w:jc w:val="left"/>
      <w:textAlignment w:val="auto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after="0" w:line="320" w:lineRule="exact"/>
      <w:ind w:firstLine="720" w:firstLineChars="400"/>
      <w:jc w:val="left"/>
      <w:textAlignment w:val="auto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after="0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DBA3AA0"/>
    <w:rsid w:val="4EF93D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2021-10-19T05:58:14Z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