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1031-2021-Q</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重庆凯琦玛科技有限公司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重庆凯琦玛科技有限公司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重庆市九龙坡区西彭镇西竹路2栋33号</w:t>
            </w:r>
            <w:bookmarkEnd w:id="6"/>
          </w:p>
        </w:tc>
        <w:tc>
          <w:tcPr>
            <w:tcW w:w="1242" w:type="dxa"/>
            <w:vMerge w:val="restart"/>
            <w:vAlign w:val="center"/>
          </w:tcPr>
          <w:p>
            <w:r>
              <w:rPr>
                <w:rFonts w:hint="eastAsia"/>
              </w:rPr>
              <w:t>邮编</w:t>
            </w:r>
          </w:p>
        </w:tc>
        <w:tc>
          <w:tcPr>
            <w:tcW w:w="1771" w:type="dxa"/>
          </w:tcPr>
          <w:p>
            <w:bookmarkStart w:id="7" w:name="注册邮编"/>
            <w:r>
              <w:t>401326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重庆市九龙坡区西彭镇铝城大道74号附1号岭欧环保内</w:t>
            </w:r>
          </w:p>
        </w:tc>
        <w:tc>
          <w:tcPr>
            <w:tcW w:w="1242" w:type="dxa"/>
            <w:vMerge w:val="continue"/>
            <w:vAlign w:val="center"/>
          </w:tcPr>
          <w:p/>
        </w:tc>
        <w:tc>
          <w:tcPr>
            <w:tcW w:w="1771" w:type="dxa"/>
          </w:tcPr>
          <w:p>
            <w:bookmarkStart w:id="8" w:name="办公邮编"/>
            <w:r>
              <w:t>401326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赵平</w:t>
            </w:r>
            <w:bookmarkEnd w:id="9"/>
          </w:p>
        </w:tc>
        <w:tc>
          <w:tcPr>
            <w:tcW w:w="1313" w:type="dxa"/>
            <w:vAlign w:val="center"/>
          </w:tcPr>
          <w:p>
            <w:r>
              <w:rPr>
                <w:rFonts w:hint="eastAsia"/>
              </w:rPr>
              <w:t>电话.</w:t>
            </w:r>
          </w:p>
        </w:tc>
        <w:tc>
          <w:tcPr>
            <w:tcW w:w="2180" w:type="dxa"/>
            <w:vAlign w:val="center"/>
          </w:tcPr>
          <w:p>
            <w:bookmarkStart w:id="10" w:name="联系人电话"/>
            <w:r>
              <w:t>18580558262</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刘利</w:t>
            </w:r>
            <w:bookmarkEnd w:id="12"/>
          </w:p>
        </w:tc>
        <w:tc>
          <w:tcPr>
            <w:tcW w:w="1313" w:type="dxa"/>
            <w:vAlign w:val="center"/>
          </w:tcPr>
          <w:p>
            <w:r>
              <w:rPr>
                <w:rFonts w:hint="eastAsia"/>
              </w:rPr>
              <w:t>管理者代表</w:t>
            </w:r>
          </w:p>
        </w:tc>
        <w:tc>
          <w:tcPr>
            <w:tcW w:w="2180" w:type="dxa"/>
          </w:tcPr>
          <w:p>
            <w:bookmarkStart w:id="13" w:name="管理者代表"/>
            <w:r>
              <w:t>赵平</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highlight w:val="none"/>
              </w:rPr>
              <w:t>原料检验---压铸----去毛刺----抛丸钝化（委外）---机加----检验---打包---入成品库</w:t>
            </w:r>
            <w:r>
              <w:rPr>
                <w:rFonts w:hint="eastAsia"/>
                <w:color w:val="0000FF"/>
                <w:highlight w:val="none"/>
              </w:rPr>
              <w:pict>
                <v:shape id="_x0000_s1026" o:spid="_x0000_s1026" o:spt="94" type="#_x0000_t94" style="position:absolute;left:0pt;margin-left:570.9pt;margin-top:5.25pt;height:38.25pt;width:76.9pt;z-index:251662336;mso-width-relative:page;mso-height-relative:page;" coordsize="21600,21600">
                  <v:path/>
                  <v:fill focussize="0,0"/>
                  <v:stroke joinstyle="miter"/>
                  <v:imagedata o:title=""/>
                  <o:lock v:ext="edit"/>
                </v:shape>
              </w:pic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r>
              <w:rPr>
                <w:rFonts w:hint="eastAsia" w:ascii="宋体" w:hAnsi="宋体" w:cs="宋体"/>
                <w:color w:val="000000"/>
                <w:kern w:val="0"/>
                <w:szCs w:val="21"/>
              </w:rPr>
              <w:t xml:space="preserve"> </w:t>
            </w:r>
            <w:bookmarkStart w:id="14" w:name="审核日期"/>
            <w:r>
              <w:rPr>
                <w:rFonts w:hint="eastAsia" w:ascii="宋体" w:hAnsi="宋体" w:cs="宋体"/>
                <w:color w:val="000000"/>
                <w:kern w:val="0"/>
                <w:szCs w:val="21"/>
              </w:rPr>
              <w:t>2021年10月11日 上午至2021年10月11日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5" w:name="审核范围"/>
            <w:r>
              <w:rPr>
                <w:rFonts w:ascii="宋体" w:hAnsi="宋体" w:cs="宋体"/>
                <w:color w:val="000000"/>
                <w:kern w:val="0"/>
                <w:szCs w:val="21"/>
              </w:rPr>
              <w:t>摩托车机油滤清器、通用机械发动机气缸头的生产</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rPr>
                <w:rFonts w:hint="eastAsia" w:ascii="宋体" w:hAnsi="宋体" w:cs="宋体"/>
                <w:color w:val="000000"/>
                <w:kern w:val="0"/>
                <w:szCs w:val="24"/>
              </w:rPr>
              <w:t>18.01.01;22.05.01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w:t>
            </w:r>
            <w:r>
              <w:rPr>
                <w:rFonts w:hint="eastAsia"/>
                <w:lang w:val="en-US" w:eastAsia="zh-CN"/>
              </w:rPr>
              <w:t>1</w:t>
            </w:r>
            <w:r>
              <w:rPr>
                <w:rFonts w:hint="eastAsia"/>
              </w:rPr>
              <w:t>月</w:t>
            </w:r>
            <w:r>
              <w:rPr>
                <w:rFonts w:hint="eastAsia"/>
                <w:lang w:val="en-US" w:eastAsia="zh-CN"/>
              </w:rPr>
              <w:t>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3"/>
        <w:gridCol w:w="107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3" w:type="dxa"/>
            <w:shd w:val="clear" w:color="auto" w:fill="F3F3F3"/>
            <w:tcMar>
              <w:left w:w="57" w:type="dxa"/>
              <w:right w:w="57" w:type="dxa"/>
            </w:tcMar>
          </w:tcPr>
          <w:p>
            <w:r>
              <w:rPr>
                <w:rFonts w:hint="eastAsia"/>
              </w:rPr>
              <w:t>审核范围（产品和过程）</w:t>
            </w:r>
          </w:p>
          <w:p/>
          <w:p/>
        </w:tc>
        <w:tc>
          <w:tcPr>
            <w:tcW w:w="107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Times New Roman" w:hAnsi="Times New Roman" w:eastAsia="宋体" w:cs="Times New Roman"/>
                <w:lang w:val="de-DE" w:eastAsia="ja-JP"/>
              </w:rPr>
            </w:pPr>
            <w:bookmarkStart w:id="27" w:name="生产地址"/>
            <w:r>
              <w:rPr>
                <w:rFonts w:hint="eastAsia" w:ascii="宋体" w:hAnsi="宋体" w:cs="宋体"/>
                <w:color w:val="000000"/>
                <w:kern w:val="0"/>
                <w:szCs w:val="21"/>
              </w:rPr>
              <w:t>重庆凯琦玛科技有限公司</w:t>
            </w:r>
            <w:r>
              <w:rPr>
                <w:rFonts w:hint="eastAsia" w:ascii="Times New Roman" w:hAnsi="Times New Roman" w:eastAsia="宋体" w:cs="Times New Roman"/>
                <w:lang w:val="en-US" w:eastAsia="zh-CN"/>
              </w:rPr>
              <w:t>/</w:t>
            </w:r>
            <w:bookmarkEnd w:id="27"/>
            <w:r>
              <w:rPr>
                <w:rFonts w:hint="eastAsia" w:ascii="宋体" w:hAnsi="宋体" w:cs="宋体"/>
                <w:color w:val="000000"/>
                <w:kern w:val="0"/>
                <w:szCs w:val="21"/>
              </w:rPr>
              <w:t>重庆市九龙坡区西彭镇西竹路2栋33号</w:t>
            </w:r>
          </w:p>
        </w:tc>
        <w:tc>
          <w:tcPr>
            <w:tcW w:w="2267" w:type="dxa"/>
          </w:tcPr>
          <w:p>
            <w:pPr>
              <w:rPr>
                <w:rFonts w:hint="eastAsia" w:ascii="Times New Roman" w:hAnsi="Times New Roman" w:eastAsia="宋体" w:cs="Times New Roman"/>
                <w:lang w:val="de-DE" w:eastAsia="ja-JP"/>
              </w:rPr>
            </w:pPr>
            <w:r>
              <w:rPr>
                <w:rFonts w:ascii="宋体" w:hAnsi="宋体" w:cs="宋体"/>
                <w:color w:val="000000"/>
                <w:kern w:val="0"/>
                <w:szCs w:val="21"/>
              </w:rPr>
              <w:t>重庆市九龙坡区西彭镇铝城大道74号附1号岭欧环保</w:t>
            </w:r>
          </w:p>
        </w:tc>
        <w:tc>
          <w:tcPr>
            <w:tcW w:w="571" w:type="dxa"/>
            <w:vAlign w:val="center"/>
          </w:tcPr>
          <w:p>
            <w:pPr>
              <w:rPr>
                <w:rFonts w:hint="default" w:ascii="Times New Roman" w:hAnsi="Times New Roman" w:eastAsia="宋体" w:cs="Times New Roman"/>
                <w:lang w:val="en-US" w:eastAsia="zh-CN"/>
              </w:rPr>
            </w:pPr>
            <w:r>
              <w:rPr>
                <w:rFonts w:ascii="华文宋体" w:hAnsi="华文宋体" w:eastAsia="华文宋体"/>
                <w:szCs w:val="21"/>
              </w:rPr>
              <w:t>2</w:t>
            </w:r>
            <w:r>
              <w:rPr>
                <w:rFonts w:hint="eastAsia" w:ascii="华文宋体" w:hAnsi="华文宋体" w:eastAsia="华文宋体"/>
                <w:szCs w:val="21"/>
                <w:lang w:val="en-US" w:eastAsia="zh-CN"/>
              </w:rPr>
              <w:t>5</w:t>
            </w:r>
            <w:r>
              <w:rPr>
                <w:rFonts w:ascii="华文宋体" w:hAnsi="华文宋体" w:eastAsia="华文宋体"/>
                <w:szCs w:val="21"/>
              </w:rPr>
              <w:t xml:space="preserve"> </w:t>
            </w:r>
          </w:p>
        </w:tc>
        <w:tc>
          <w:tcPr>
            <w:tcW w:w="2393" w:type="dxa"/>
            <w:vAlign w:val="center"/>
          </w:tcPr>
          <w:p>
            <w:pPr>
              <w:rPr>
                <w:rFonts w:hint="eastAsia" w:ascii="Times New Roman" w:hAnsi="Times New Roman" w:eastAsia="宋体" w:cs="Times New Roman"/>
                <w:lang w:eastAsia="ja-JP"/>
              </w:rPr>
            </w:pPr>
            <w:r>
              <w:rPr>
                <w:rFonts w:ascii="宋体" w:hAnsi="宋体" w:cs="宋体"/>
                <w:color w:val="000000"/>
                <w:kern w:val="0"/>
                <w:szCs w:val="21"/>
              </w:rPr>
              <w:t>摩托车机油滤清器、通用机械发动机气缸头的生产</w:t>
            </w:r>
          </w:p>
        </w:tc>
        <w:tc>
          <w:tcPr>
            <w:tcW w:w="1079"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GB/T19001-2016</w:t>
            </w:r>
          </w:p>
        </w:tc>
        <w:tc>
          <w:tcPr>
            <w:tcW w:w="668" w:type="dxa"/>
            <w:shd w:val="clear" w:color="auto" w:fill="FFFFFF"/>
          </w:tcPr>
          <w:p>
            <w:pPr>
              <w:rPr>
                <w:rFonts w:hint="eastAsia" w:eastAsia="宋体"/>
                <w:lang w:eastAsia="zh-CN"/>
              </w:rPr>
            </w:pPr>
            <w:r>
              <w:rPr>
                <w:rFonts w:hint="eastAsia"/>
                <w:lang w:eastAsia="zh-CN"/>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pPr>
              <w:widowControl/>
              <w:jc w:val="both"/>
              <w:rPr>
                <w:rFonts w:ascii="宋体" w:hAnsi="宋体" w:cs="宋体"/>
                <w:color w:val="000000"/>
                <w:kern w:val="0"/>
                <w:szCs w:val="21"/>
              </w:rPr>
            </w:pPr>
            <w:r>
              <w:rPr>
                <w:rFonts w:ascii="宋体" w:hAnsi="宋体" w:cs="宋体"/>
                <w:color w:val="000000"/>
                <w:kern w:val="0"/>
                <w:szCs w:val="21"/>
              </w:rPr>
              <w:t>18.01.01,</w:t>
            </w:r>
          </w:p>
          <w:p>
            <w:r>
              <w:rPr>
                <w:rFonts w:ascii="宋体" w:hAnsi="宋体" w:cs="宋体"/>
                <w:color w:val="000000"/>
                <w:kern w:val="0"/>
                <w:szCs w:val="21"/>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rPr>
                <w:rFonts w:hint="eastAsia"/>
                <w:lang w:eastAsia="zh-CN"/>
              </w:rPr>
              <w:t>文平</w:t>
            </w:r>
          </w:p>
        </w:tc>
        <w:tc>
          <w:tcPr>
            <w:tcW w:w="1089" w:type="dxa"/>
            <w:vAlign w:val="center"/>
          </w:tcPr>
          <w:p>
            <w:r>
              <w:t>组员</w:t>
            </w:r>
          </w:p>
        </w:tc>
        <w:tc>
          <w:tcPr>
            <w:tcW w:w="711" w:type="dxa"/>
            <w:vAlign w:val="center"/>
          </w:tcPr>
          <w:p>
            <w:r>
              <w:t>男</w:t>
            </w:r>
          </w:p>
        </w:tc>
        <w:tc>
          <w:tcPr>
            <w:tcW w:w="3870" w:type="dxa"/>
            <w:vAlign w:val="center"/>
          </w:tcPr>
          <w:p>
            <w:r>
              <w:rPr>
                <w:rFonts w:ascii="宋体" w:hAnsi="宋体" w:cs="宋体"/>
                <w:color w:val="000000"/>
                <w:kern w:val="0"/>
                <w:szCs w:val="21"/>
              </w:rPr>
              <w:t>2019-N1QMS-3093566</w:t>
            </w:r>
          </w:p>
        </w:tc>
        <w:tc>
          <w:tcPr>
            <w:tcW w:w="2179" w:type="dxa"/>
            <w:vAlign w:val="center"/>
          </w:tcPr>
          <w:p>
            <w:pPr>
              <w:widowControl/>
              <w:jc w:val="both"/>
              <w:rPr>
                <w:rFonts w:ascii="宋体" w:hAnsi="宋体" w:cs="宋体"/>
                <w:color w:val="000000"/>
                <w:kern w:val="0"/>
                <w:szCs w:val="21"/>
              </w:rPr>
            </w:pPr>
            <w:r>
              <w:rPr>
                <w:rFonts w:ascii="宋体" w:hAnsi="宋体" w:cs="宋体"/>
                <w:color w:val="000000"/>
                <w:kern w:val="0"/>
                <w:szCs w:val="21"/>
              </w:rPr>
              <w:t>18.01.01,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w:t>
      </w:r>
      <w:r>
        <w:rPr>
          <w:rFonts w:hint="eastAsia"/>
          <w:lang w:eastAsia="zh-CN"/>
        </w:rPr>
        <w:t>不</w:t>
      </w:r>
      <w:r>
        <w:rPr>
          <w:rFonts w:hint="eastAsia"/>
        </w:rPr>
        <w:t xml:space="preserve">适用）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3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eastAsia="zh-CN"/>
              </w:rPr>
              <w:t>不适用</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vAlign w:val="top"/>
          </w:tcPr>
          <w:p>
            <w:pPr>
              <w:rPr>
                <w:color w:val="000000" w:themeColor="text1"/>
              </w:rPr>
            </w:pPr>
            <w:r>
              <w:rPr>
                <w:rFonts w:hint="eastAsia"/>
                <w:color w:val="000000" w:themeColor="text1"/>
                <w:highlight w:val="none"/>
              </w:rPr>
              <w:t>1</w:t>
            </w:r>
          </w:p>
        </w:tc>
        <w:tc>
          <w:tcPr>
            <w:tcW w:w="1717" w:type="dxa"/>
            <w:vAlign w:val="top"/>
          </w:tcPr>
          <w:p>
            <w:pPr>
              <w:rPr>
                <w:color w:val="000000" w:themeColor="text1"/>
              </w:rPr>
            </w:pPr>
            <w:r>
              <w:rPr>
                <w:rFonts w:hint="eastAsia"/>
                <w:color w:val="000000" w:themeColor="text1"/>
                <w:highlight w:val="none"/>
              </w:rPr>
              <w:t>0</w:t>
            </w:r>
          </w:p>
        </w:tc>
        <w:tc>
          <w:tcPr>
            <w:tcW w:w="1560" w:type="dxa"/>
            <w:vAlign w:val="top"/>
          </w:tcPr>
          <w:p>
            <w:pPr>
              <w:rPr>
                <w:color w:val="000000" w:themeColor="text1"/>
              </w:rPr>
            </w:pPr>
            <w:r>
              <w:rPr>
                <w:rFonts w:hint="eastAsia"/>
                <w:color w:val="000000" w:themeColor="text1"/>
                <w:highlight w:val="none"/>
              </w:rPr>
              <w:t>1</w:t>
            </w:r>
          </w:p>
        </w:tc>
        <w:tc>
          <w:tcPr>
            <w:tcW w:w="2965" w:type="dxa"/>
            <w:vAlign w:val="top"/>
          </w:tcPr>
          <w:p>
            <w:pPr>
              <w:rPr>
                <w:color w:val="000000" w:themeColor="text1"/>
              </w:rPr>
            </w:pPr>
            <w:r>
              <w:rPr>
                <w:rFonts w:hint="eastAsia"/>
                <w:color w:val="000000" w:themeColor="text1"/>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摩托车机油滤清器、通用机械发动机气缸头的生产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329565</wp:posOffset>
                  </wp:positionH>
                  <wp:positionV relativeFrom="paragraph">
                    <wp:posOffset>73660</wp:posOffset>
                  </wp:positionV>
                  <wp:extent cx="511175" cy="386715"/>
                  <wp:effectExtent l="0" t="0" r="952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11175" cy="386715"/>
                          </a:xfrm>
                          <a:prstGeom prst="rect">
                            <a:avLst/>
                          </a:prstGeom>
                          <a:noFill/>
                          <a:ln>
                            <a:noFill/>
                          </a:ln>
                        </pic:spPr>
                      </pic:pic>
                    </a:graphicData>
                  </a:graphic>
                </wp:anchor>
              </w:drawing>
            </w:r>
          </w:p>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2021年</w:t>
            </w:r>
            <w:r>
              <w:rPr>
                <w:rFonts w:hint="eastAsia" w:cs="Times New Roman"/>
                <w:lang w:val="en-US" w:eastAsia="zh-CN"/>
              </w:rPr>
              <w:t>10</w:t>
            </w:r>
            <w:r>
              <w:rPr>
                <w:rFonts w:hint="eastAsia" w:ascii="Times New Roman" w:hAnsi="Times New Roman" w:eastAsia="宋体" w:cs="Times New Roman"/>
                <w:lang w:val="en-US" w:eastAsia="zh-CN"/>
              </w:rPr>
              <w:t>月</w:t>
            </w:r>
            <w:r>
              <w:rPr>
                <w:rFonts w:hint="eastAsia" w:cs="Times New Roman"/>
                <w:lang w:val="en-US" w:eastAsia="zh-CN"/>
              </w:rPr>
              <w:t>11</w:t>
            </w:r>
            <w:r>
              <w:rPr>
                <w:rFonts w:hint="eastAsia" w:ascii="Times New Roman" w:hAnsi="Times New Roman" w:eastAsia="宋体" w:cs="Times New Roman"/>
                <w:lang w:val="en-US" w:eastAsia="zh-CN"/>
              </w:rPr>
              <w:t>日</w:t>
            </w:r>
          </w:p>
        </w:tc>
      </w:tr>
    </w:tbl>
    <w:p/>
    <w:p/>
    <w:p>
      <w:r>
        <w:rPr>
          <w:rFonts w:hint="eastAsia"/>
        </w:rPr>
        <w:t>十四、审核报告的发放范围：</w:t>
      </w:r>
    </w:p>
    <w:p>
      <w:r>
        <w:rPr>
          <w:rFonts w:hint="eastAsia"/>
        </w:rPr>
        <w:t>受审核方(含附件)：</w:t>
      </w:r>
      <w:r>
        <w:rPr>
          <w:rFonts w:hint="eastAsia" w:ascii="宋体" w:hAnsi="宋体" w:cs="宋体"/>
          <w:color w:val="000000"/>
          <w:kern w:val="0"/>
          <w:szCs w:val="21"/>
        </w:rPr>
        <w:t>重庆凯琦玛科技有限公司</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 xml:space="preserve">附件ISO 9001:2015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99"/>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val="0"/>
                <w:bCs w:val="0"/>
                <w:color w:val="000000" w:themeColor="text1"/>
                <w:highlight w:val="none"/>
              </w:rPr>
              <w:t>影响体系运行的外包</w:t>
            </w:r>
            <w:r>
              <w:rPr>
                <w:rFonts w:hint="eastAsia"/>
                <w:b w:val="0"/>
                <w:bCs w:val="0"/>
                <w:color w:val="000000" w:themeColor="text1"/>
                <w:highlight w:val="none"/>
                <w:lang w:val="en-GB"/>
              </w:rPr>
              <w:t>过程如下</w:t>
            </w:r>
            <w:r>
              <w:rPr>
                <w:rFonts w:hint="eastAsia"/>
                <w:b w:val="0"/>
                <w:bCs w:val="0"/>
                <w:color w:val="000000" w:themeColor="text1"/>
                <w:highlight w:val="none"/>
              </w:rPr>
              <w:t>:</w:t>
            </w:r>
            <w:r>
              <w:rPr>
                <w:rFonts w:hint="eastAsia"/>
                <w:b w:val="0"/>
                <w:bCs w:val="0"/>
                <w:color w:val="000000" w:themeColor="text1"/>
                <w:highlight w:val="none"/>
                <w:lang w:val="en-GB"/>
              </w:rPr>
              <w:t xml:space="preserve"> </w:t>
            </w:r>
            <w:r>
              <w:rPr>
                <w:rFonts w:hint="eastAsia"/>
                <w:b w:val="0"/>
                <w:bCs w:val="0"/>
                <w:color w:val="000000" w:themeColor="text1"/>
                <w:highlight w:val="none"/>
                <w:lang w:val="en-US" w:eastAsia="zh-CN"/>
              </w:rPr>
              <w:t>无</w:t>
            </w:r>
            <w:r>
              <w:rPr>
                <w:rFonts w:hint="eastAsia"/>
                <w:b/>
                <w:bCs/>
                <w:color w:val="000000" w:themeColor="text1"/>
                <w:highlight w:val="none"/>
                <w:lang w:val="en-GB"/>
              </w:rPr>
              <w:t>（</w:t>
            </w:r>
            <w:r>
              <w:rPr>
                <w:rFonts w:hint="eastAsia"/>
                <w:b/>
                <w:bCs/>
                <w:color w:val="000000" w:themeColor="text1"/>
                <w:highlight w:val="none"/>
              </w:rPr>
              <w:t>根据实际</w:t>
            </w:r>
            <w:r>
              <w:rPr>
                <w:rFonts w:hint="eastAsia"/>
                <w:b/>
                <w:bCs/>
                <w:highlight w:val="none"/>
              </w:rPr>
              <w:t>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500" w:lineRule="exact"/>
              <w:jc w:val="both"/>
              <w:rPr>
                <w:rFonts w:hint="eastAsia" w:ascii="Times New Roman" w:hAnsi="Times New Roman" w:eastAsia="宋体" w:cs="Times New Roman"/>
                <w:b w:val="0"/>
                <w:bCs w:val="0"/>
                <w:color w:val="000000"/>
                <w:kern w:val="2"/>
                <w:sz w:val="21"/>
                <w:szCs w:val="20"/>
                <w:lang w:val="en-US" w:eastAsia="zh-CN" w:bidi="ar-SA"/>
              </w:rPr>
            </w:pPr>
            <w:r>
              <w:rPr>
                <w:rFonts w:hint="eastAsia" w:ascii="Times New Roman" w:hAnsi="Times New Roman" w:eastAsia="宋体" w:cs="Times New Roman"/>
                <w:b w:val="0"/>
                <w:bCs w:val="0"/>
                <w:kern w:val="2"/>
                <w:sz w:val="21"/>
                <w:szCs w:val="24"/>
                <w:lang w:val="en-US" w:eastAsia="zh-CN" w:bidi="ar-SA"/>
              </w:rPr>
              <w:t xml:space="preserve">最高管理者制定了文件化的管理体系方针：  </w:t>
            </w:r>
            <w:r>
              <w:rPr>
                <w:rFonts w:hint="eastAsia" w:ascii="Times New Roman" w:hAnsi="Times New Roman" w:eastAsia="宋体" w:cs="Times New Roman"/>
                <w:b w:val="0"/>
                <w:bCs w:val="0"/>
                <w:color w:val="000000"/>
                <w:kern w:val="2"/>
                <w:sz w:val="21"/>
                <w:szCs w:val="20"/>
                <w:lang w:val="en-US" w:eastAsia="zh-CN" w:bidi="ar-SA"/>
              </w:rPr>
              <w:t xml:space="preserve"> 加强管理，提升技术</w:t>
            </w:r>
          </w:p>
          <w:p>
            <w:pPr>
              <w:spacing w:line="500" w:lineRule="exact"/>
              <w:jc w:val="center"/>
              <w:rPr>
                <w:rFonts w:hint="eastAsia" w:ascii="Times New Roman" w:hAnsi="Times New Roman" w:eastAsia="宋体" w:cs="Times New Roman"/>
                <w:b w:val="0"/>
                <w:bCs w:val="0"/>
                <w:color w:val="000000"/>
                <w:kern w:val="2"/>
                <w:sz w:val="21"/>
                <w:szCs w:val="20"/>
                <w:lang w:val="en-US" w:eastAsia="zh-CN" w:bidi="ar-SA"/>
              </w:rPr>
            </w:pPr>
            <w:r>
              <w:rPr>
                <w:rFonts w:hint="eastAsia" w:eastAsia="宋体" w:cs="Times New Roman"/>
                <w:b w:val="0"/>
                <w:bCs w:val="0"/>
                <w:color w:val="000000"/>
                <w:kern w:val="2"/>
                <w:sz w:val="21"/>
                <w:szCs w:val="20"/>
                <w:lang w:val="en-US" w:eastAsia="zh-CN" w:bidi="ar-SA"/>
              </w:rPr>
              <w:t xml:space="preserve">                  </w:t>
            </w:r>
            <w:r>
              <w:rPr>
                <w:rFonts w:hint="eastAsia" w:ascii="Times New Roman" w:hAnsi="Times New Roman" w:eastAsia="宋体" w:cs="Times New Roman"/>
                <w:b w:val="0"/>
                <w:bCs w:val="0"/>
                <w:color w:val="000000"/>
                <w:kern w:val="2"/>
                <w:sz w:val="21"/>
                <w:szCs w:val="20"/>
                <w:lang w:val="en-US" w:eastAsia="zh-CN" w:bidi="ar-SA"/>
              </w:rPr>
              <w:t>预防缺陷, 降低成本</w:t>
            </w:r>
          </w:p>
          <w:p>
            <w:pPr>
              <w:spacing w:line="500" w:lineRule="exact"/>
              <w:jc w:val="center"/>
              <w:rPr>
                <w:rFonts w:hint="eastAsia" w:ascii="Times New Roman" w:hAnsi="Times New Roman" w:eastAsia="宋体" w:cs="Times New Roman"/>
                <w:b w:val="0"/>
                <w:bCs w:val="0"/>
                <w:kern w:val="2"/>
                <w:sz w:val="21"/>
                <w:szCs w:val="24"/>
                <w:lang w:val="en-US" w:eastAsia="zh-CN" w:bidi="ar-SA"/>
              </w:rPr>
            </w:pPr>
            <w:r>
              <w:rPr>
                <w:rFonts w:hint="eastAsia" w:eastAsia="宋体" w:cs="Times New Roman"/>
                <w:b w:val="0"/>
                <w:bCs w:val="0"/>
                <w:color w:val="000000"/>
                <w:kern w:val="2"/>
                <w:sz w:val="21"/>
                <w:szCs w:val="20"/>
                <w:lang w:val="en-US" w:eastAsia="zh-CN" w:bidi="ar-SA"/>
              </w:rPr>
              <w:t xml:space="preserve">                  </w:t>
            </w:r>
            <w:r>
              <w:rPr>
                <w:rFonts w:hint="eastAsia" w:ascii="Times New Roman" w:hAnsi="Times New Roman" w:eastAsia="宋体" w:cs="Times New Roman"/>
                <w:b w:val="0"/>
                <w:bCs w:val="0"/>
                <w:color w:val="000000"/>
                <w:kern w:val="2"/>
                <w:sz w:val="21"/>
                <w:szCs w:val="20"/>
                <w:lang w:val="en-US" w:eastAsia="zh-CN" w:bidi="ar-SA"/>
              </w:rPr>
              <w:t>持续改进, 顾客满意</w:t>
            </w:r>
          </w:p>
          <w:p>
            <w:pPr>
              <w:shd w:val="clear" w:color="auto" w:fill="C7DAF1" w:themeFill="text2" w:themeFillTint="32"/>
              <w:ind w:firstLine="420" w:firstLineChars="200"/>
            </w:pPr>
            <w:r>
              <w:rPr>
                <w:rFonts w:hint="eastAsia" w:ascii="Times New Roman" w:hAnsi="Times New Roman" w:eastAsia="宋体" w:cs="Times New Roman"/>
                <w:b w:val="0"/>
                <w:bCs w:val="0"/>
                <w:kern w:val="2"/>
                <w:sz w:val="21"/>
                <w:szCs w:val="24"/>
                <w:lang w:val="en-GB" w:eastAsia="zh-CN" w:bidi="ar-SA"/>
              </w:rPr>
              <w:t>质量方针合理恰当并为相应的质量目标提供了框架。</w:t>
            </w:r>
            <w:r>
              <w:rPr>
                <w:rFonts w:hint="eastAsia" w:ascii="Times New Roman" w:hAnsi="Times New Roman" w:eastAsia="宋体" w:cs="Times New Roman"/>
                <w:b w:val="0"/>
                <w:bCs w:val="0"/>
                <w:kern w:val="2"/>
                <w:sz w:val="21"/>
                <w:szCs w:val="24"/>
                <w:lang w:val="en-US" w:eastAsia="zh-CN" w:bidi="ar-SA"/>
              </w:rPr>
              <w:t>最高</w:t>
            </w:r>
            <w:r>
              <w:rPr>
                <w:rFonts w:hint="eastAsia" w:ascii="Times New Roman" w:hAnsi="Times New Roman" w:eastAsia="宋体" w:cs="Times New Roman"/>
                <w:b w:val="0"/>
                <w:bCs w:val="0"/>
                <w:kern w:val="2"/>
                <w:sz w:val="21"/>
                <w:szCs w:val="24"/>
                <w:lang w:val="en-GB" w:eastAsia="zh-CN" w:bidi="ar-SA"/>
              </w:rPr>
              <w:t>管理层已经宣布了组织的质量方针并进行了实施，它使所有员工负起持续改进质量管理体系的责</w:t>
            </w:r>
            <w:r>
              <w:rPr>
                <w:rFonts w:hint="eastAsia"/>
                <w:lang w:val="en-GB"/>
              </w:rPr>
              <w:t>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宋体" w:hAnsi="宋体"/>
                <w:szCs w:val="21"/>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3915"/>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91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9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395"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top"/>
                </w:tcPr>
                <w:p>
                  <w:pPr>
                    <w:widowControl/>
                    <w:spacing w:before="40"/>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Courier New" w:eastAsia="宋体" w:cs="Times New Roman"/>
                      <w:color w:val="000000"/>
                      <w:kern w:val="2"/>
                      <w:sz w:val="21"/>
                      <w:szCs w:val="18"/>
                      <w:lang w:val="en-US" w:eastAsia="zh-CN" w:bidi="ar-SA"/>
                    </w:rPr>
                    <w:t>产品交付合格率100%</w:t>
                  </w:r>
                </w:p>
              </w:tc>
              <w:tc>
                <w:tcPr>
                  <w:tcW w:w="3915" w:type="dxa"/>
                  <w:shd w:val="clear" w:color="auto" w:fill="auto"/>
                  <w:vAlign w:val="top"/>
                </w:tcPr>
                <w:p>
                  <w:pPr>
                    <w:widowControl/>
                    <w:spacing w:before="40"/>
                    <w:jc w:val="left"/>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Courier New" w:eastAsia="宋体" w:cs="Times New Roman"/>
                      <w:color w:val="000000"/>
                      <w:kern w:val="2"/>
                      <w:sz w:val="21"/>
                      <w:szCs w:val="18"/>
                      <w:lang w:val="en-US" w:eastAsia="zh-CN" w:bidi="ar-SA"/>
                    </w:rPr>
                    <w:t>生产一次交验合格数÷生产总数×100%</w:t>
                  </w:r>
                </w:p>
              </w:tc>
              <w:tc>
                <w:tcPr>
                  <w:tcW w:w="1095"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szCs w:val="21"/>
                      <w:lang w:eastAsia="zh-CN"/>
                    </w:rPr>
                    <w:t>生技</w:t>
                  </w:r>
                  <w:r>
                    <w:rPr>
                      <w:rFonts w:hint="eastAsia" w:ascii="宋体" w:hAnsi="宋体"/>
                      <w:szCs w:val="21"/>
                    </w:rPr>
                    <w:t>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4"/>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2" w:type="dxa"/>
                  <w:shd w:val="clear" w:color="auto" w:fill="auto"/>
                  <w:vAlign w:val="top"/>
                </w:tcPr>
                <w:p>
                  <w:pPr>
                    <w:widowControl/>
                    <w:spacing w:before="40"/>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Courier New" w:eastAsia="宋体" w:cs="Times New Roman"/>
                      <w:color w:val="000000"/>
                      <w:kern w:val="2"/>
                      <w:sz w:val="21"/>
                      <w:szCs w:val="18"/>
                      <w:lang w:val="en-US" w:eastAsia="zh-CN" w:bidi="ar-SA"/>
                    </w:rPr>
                    <w:t>顾客满意度高于85%</w:t>
                  </w:r>
                </w:p>
              </w:tc>
              <w:tc>
                <w:tcPr>
                  <w:tcW w:w="3915" w:type="dxa"/>
                  <w:shd w:val="clear" w:color="auto" w:fill="auto"/>
                  <w:vAlign w:val="center"/>
                </w:tcPr>
                <w:p>
                  <w:pPr>
                    <w:widowControl/>
                    <w:spacing w:before="40"/>
                    <w:jc w:val="left"/>
                    <w:rPr>
                      <w:rFonts w:ascii="宋体" w:hAnsi="宋体" w:eastAsia="宋体" w:cs="Times New Roman"/>
                      <w:color w:val="000000" w:themeColor="text1"/>
                      <w:kern w:val="2"/>
                      <w:sz w:val="21"/>
                      <w:szCs w:val="24"/>
                      <w:highlight w:val="none"/>
                      <w:lang w:val="en-US" w:eastAsia="zh-CN" w:bidi="ar-SA"/>
                    </w:rPr>
                  </w:pPr>
                  <w:r>
                    <w:rPr>
                      <w:rFonts w:hint="eastAsia" w:ascii="宋体" w:hAnsi="Courier New" w:eastAsia="宋体" w:cs="Times New Roman"/>
                      <w:color w:val="000000"/>
                      <w:kern w:val="2"/>
                      <w:sz w:val="21"/>
                      <w:szCs w:val="18"/>
                      <w:lang w:val="en-US" w:eastAsia="zh-CN" w:bidi="ar-SA"/>
                    </w:rPr>
                    <w:t>顾客满意度调查得分总分÷调查顾客总数×100%</w:t>
                  </w:r>
                </w:p>
              </w:tc>
              <w:tc>
                <w:tcPr>
                  <w:tcW w:w="1095"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lang w:eastAsia="zh-CN"/>
                    </w:rPr>
                    <w:t>综合</w:t>
                  </w:r>
                  <w:r>
                    <w:rPr>
                      <w:rFonts w:hint="eastAsia" w:ascii="宋体" w:hAnsi="宋体"/>
                      <w:szCs w:val="21"/>
                    </w:rPr>
                    <w:t>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top"/>
                </w:tcPr>
                <w:p>
                  <w:pPr>
                    <w:widowControl/>
                    <w:spacing w:before="40"/>
                    <w:jc w:val="left"/>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Courier New" w:eastAsia="宋体" w:cs="Times New Roman"/>
                      <w:color w:val="000000"/>
                      <w:kern w:val="2"/>
                      <w:sz w:val="21"/>
                      <w:szCs w:val="18"/>
                      <w:lang w:val="en-US" w:eastAsia="zh-CN" w:bidi="ar-SA"/>
                    </w:rPr>
                    <w:t>重大质量责任事故</w:t>
                  </w:r>
                  <w:r>
                    <w:rPr>
                      <w:rFonts w:hint="eastAsia" w:ascii="宋体" w:hAnsi="Courier New" w:cs="Times New Roman"/>
                      <w:color w:val="000000"/>
                      <w:kern w:val="2"/>
                      <w:sz w:val="21"/>
                      <w:szCs w:val="18"/>
                      <w:lang w:val="en-US" w:eastAsia="zh-CN" w:bidi="ar-SA"/>
                    </w:rPr>
                    <w:t>0</w:t>
                  </w:r>
                </w:p>
              </w:tc>
              <w:tc>
                <w:tcPr>
                  <w:tcW w:w="3915" w:type="dxa"/>
                  <w:shd w:val="clear" w:color="auto" w:fill="auto"/>
                  <w:vAlign w:val="top"/>
                </w:tcPr>
                <w:p>
                  <w:pPr>
                    <w:widowControl/>
                    <w:spacing w:before="40"/>
                    <w:jc w:val="left"/>
                    <w:rPr>
                      <w:rFonts w:hint="default" w:ascii="宋体" w:hAnsi="宋体" w:eastAsia="宋体" w:cs="Times New Roman"/>
                      <w:color w:val="000000" w:themeColor="text1"/>
                      <w:kern w:val="2"/>
                      <w:sz w:val="21"/>
                      <w:szCs w:val="24"/>
                      <w:highlight w:val="none"/>
                      <w:lang w:val="en-US" w:eastAsia="zh-CN" w:bidi="ar-SA"/>
                    </w:rPr>
                  </w:pPr>
                  <w:r>
                    <w:rPr>
                      <w:rFonts w:hint="eastAsia" w:ascii="宋体" w:hAnsi="Courier New" w:eastAsia="宋体" w:cs="Times New Roman"/>
                      <w:color w:val="000000"/>
                      <w:kern w:val="2"/>
                      <w:sz w:val="21"/>
                      <w:szCs w:val="18"/>
                      <w:lang w:val="en-US" w:eastAsia="zh-CN" w:bidi="ar-SA"/>
                    </w:rPr>
                    <w:t>按风险控制程序中的风险级别统计重大风险事件</w:t>
                  </w:r>
                </w:p>
              </w:tc>
              <w:tc>
                <w:tcPr>
                  <w:tcW w:w="1095"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Times New Roman"/>
                      <w:color w:val="000000" w:themeColor="text1"/>
                      <w:kern w:val="2"/>
                      <w:sz w:val="21"/>
                      <w:szCs w:val="24"/>
                      <w:highlight w:val="none"/>
                      <w:lang w:val="en-US" w:eastAsia="zh-CN" w:bidi="ar-SA"/>
                    </w:rPr>
                    <w:t>生技部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 □组织结构变更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组织应确定、提供并维护所需的基础设施情况：</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建筑面积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3000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平方米；生产车间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个；库房</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个；实验室</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w:t>
            </w:r>
          </w:p>
          <w:p>
            <w:pPr>
              <w:shd w:val="clear" w:color="auto" w:fill="C7DAF1" w:themeFill="text2" w:themeFillTint="3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主要生产设备有：</w:t>
            </w:r>
            <w:r>
              <w:rPr>
                <w:rFonts w:hint="eastAsia"/>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lang w:val="en-US" w:eastAsia="zh-CN"/>
                <w14:textFill>
                  <w14:solidFill>
                    <w14:schemeClr w14:val="tx1"/>
                  </w14:solidFill>
                </w14:textFill>
              </w:rPr>
              <w:t>压铸机、坩埚炉、CNC加工中心、铣床、钻床、车床、钻攻中心等生产设备</w:t>
            </w:r>
            <w:r>
              <w:rPr>
                <w:rFonts w:hint="eastAsia" w:ascii="宋体" w:hAnsi="宋体"/>
                <w:color w:val="000000" w:themeColor="text1"/>
                <w:sz w:val="21"/>
                <w:szCs w:val="21"/>
                <w:lang w:eastAsia="zh-CN"/>
                <w14:textFill>
                  <w14:solidFill>
                    <w14:schemeClr w14:val="tx1"/>
                  </w14:solidFill>
                </w14:textFill>
              </w:rPr>
              <w:t>及电脑、</w:t>
            </w:r>
            <w:r>
              <w:rPr>
                <w:rFonts w:hint="eastAsia" w:ascii="宋体" w:hAnsi="宋体"/>
                <w:color w:val="000000" w:themeColor="text1"/>
                <w:sz w:val="21"/>
                <w:szCs w:val="21"/>
                <w:lang w:val="en-US" w:eastAsia="zh-CN"/>
                <w14:textFill>
                  <w14:solidFill>
                    <w14:schemeClr w14:val="tx1"/>
                  </w14:solidFill>
                </w14:textFill>
              </w:rPr>
              <w:t>打印机等</w:t>
            </w:r>
            <w:r>
              <w:rPr>
                <w:rFonts w:hint="eastAsia" w:ascii="宋体" w:hAnsi="宋体"/>
                <w:color w:val="000000" w:themeColor="text1"/>
                <w:sz w:val="21"/>
                <w:szCs w:val="21"/>
                <w:lang w:eastAsia="zh-CN"/>
                <w14:textFill>
                  <w14:solidFill>
                    <w14:schemeClr w14:val="tx1"/>
                  </w14:solidFill>
                </w14:textFill>
              </w:rPr>
              <w:t>办公设备</w:t>
            </w:r>
            <w:r>
              <w:rPr>
                <w:rFonts w:hint="eastAsia"/>
                <w:color w:val="000000" w:themeColor="text1"/>
                <w:highlight w:val="none"/>
                <w:u w:val="single"/>
                <w14:textFill>
                  <w14:solidFill>
                    <w14:schemeClr w14:val="tx1"/>
                  </w14:solidFill>
                </w14:textFill>
              </w:rPr>
              <w:t xml:space="preserve"> </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特种设备：</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叉车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行车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锅炉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电梯 </w:t>
            </w:r>
            <w:r>
              <w:rPr>
                <w:rFonts w:hint="eastAsia" w:ascii="Wingdings" w:hAnsi="Wingdings"/>
                <w:color w:val="000000" w:themeColor="text1"/>
                <w:highlight w:val="none"/>
                <w:lang w:eastAsia="zh-CN"/>
                <w14:textFill>
                  <w14:solidFill>
                    <w14:schemeClr w14:val="tx1"/>
                  </w14:solidFill>
                </w14:textFill>
              </w:rPr>
              <w:t>□</w:t>
            </w:r>
            <w:r>
              <w:rPr>
                <w:rFonts w:hint="eastAsia" w:ascii="Wingdings" w:hAnsi="Wingdings"/>
                <w:color w:val="000000" w:themeColor="text1"/>
                <w:highlight w:val="none"/>
                <w:lang w:val="en-US" w:eastAsia="zh-CN"/>
                <w14:textFill>
                  <w14:solidFill>
                    <w14:schemeClr w14:val="tx1"/>
                  </w14:solidFill>
                </w14:textFill>
              </w:rPr>
              <w:t>简单</w:t>
            </w:r>
            <w:r>
              <w:rPr>
                <w:rFonts w:hint="eastAsia"/>
                <w:color w:val="000000" w:themeColor="text1"/>
                <w:highlight w:val="none"/>
                <w14:textFill>
                  <w14:solidFill>
                    <w14:schemeClr w14:val="tx1"/>
                  </w14:solidFill>
                </w14:textFill>
              </w:rPr>
              <w:t xml:space="preserve">压力容器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压力管道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不适用  </w:t>
            </w:r>
          </w:p>
          <w:p>
            <w:pPr>
              <w:shd w:val="clear" w:color="auto" w:fill="C7DAF1" w:themeFill="text2" w:themeFillTint="3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特种设备管理：</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进行了定期检验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未进行定期检验的有： </w:t>
            </w:r>
            <w:r>
              <w:rPr>
                <w:rFonts w:hint="eastAsia"/>
                <w:color w:val="000000" w:themeColor="text1"/>
                <w:highlight w:val="none"/>
                <w:u w:val="single"/>
                <w14:textFill>
                  <w14:solidFill>
                    <w14:schemeClr w14:val="tx1"/>
                  </w14:solidFill>
                </w14:textFill>
              </w:rPr>
              <w:t xml:space="preserve">            </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组织</w:t>
            </w:r>
            <w:r>
              <w:rPr>
                <w:color w:val="000000" w:themeColor="text1"/>
                <w:highlight w:val="none"/>
                <w14:textFill>
                  <w14:solidFill>
                    <w14:schemeClr w14:val="tx1"/>
                  </w14:solidFill>
                </w14:textFill>
              </w:rPr>
              <w:t>现有</w:t>
            </w:r>
            <w:r>
              <w:rPr>
                <w:rFonts w:hint="eastAsia"/>
                <w:color w:val="000000" w:themeColor="text1"/>
                <w:highlight w:val="none"/>
                <w14:textFill>
                  <w14:solidFill>
                    <w14:schemeClr w14:val="tx1"/>
                  </w14:solidFill>
                </w14:textFill>
              </w:rPr>
              <w:t>基础设施可满足质量管理体系运行；</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w:t>
            </w:r>
            <w:r>
              <w:rPr>
                <w:color w:val="000000" w:themeColor="text1"/>
                <w:highlight w:val="none"/>
                <w14:textFill>
                  <w14:solidFill>
                    <w14:schemeClr w14:val="tx1"/>
                  </w14:solidFill>
                </w14:textFill>
              </w:rPr>
              <w:t>现有</w:t>
            </w:r>
            <w:r>
              <w:rPr>
                <w:rFonts w:hint="eastAsia"/>
                <w:color w:val="000000" w:themeColor="text1"/>
                <w:highlight w:val="none"/>
                <w14:textFill>
                  <w14:solidFill>
                    <w14:schemeClr w14:val="tx1"/>
                  </w14:solidFill>
                </w14:textFill>
              </w:rPr>
              <w:t>基础设施可基本满足质量管理体系运行，但是还有不足需要补充：</w:t>
            </w:r>
            <w:r>
              <w:rPr>
                <w:rFonts w:hint="eastAsia"/>
                <w:color w:val="000000" w:themeColor="text1"/>
                <w:highlight w:val="none"/>
                <w:u w:val="single"/>
                <w14:textFill>
                  <w14:solidFill>
                    <w14:schemeClr w14:val="tx1"/>
                  </w14:solidFill>
                </w14:textFill>
              </w:rPr>
              <w:t xml:space="preserve">           </w:t>
            </w:r>
          </w:p>
          <w:p>
            <w:pPr>
              <w:shd w:val="clear" w:color="auto" w:fill="C7DAF1" w:themeFill="text2" w:themeFillTint="3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□组织</w:t>
            </w:r>
            <w:r>
              <w:rPr>
                <w:color w:val="000000" w:themeColor="text1"/>
                <w:highlight w:val="none"/>
                <w14:textFill>
                  <w14:solidFill>
                    <w14:schemeClr w14:val="tx1"/>
                  </w14:solidFill>
                </w14:textFill>
              </w:rPr>
              <w:t>现有</w:t>
            </w:r>
            <w:r>
              <w:rPr>
                <w:rFonts w:hint="eastAsia"/>
                <w:color w:val="000000" w:themeColor="text1"/>
                <w:highlight w:val="none"/>
                <w14:textFill>
                  <w14:solidFill>
                    <w14:schemeClr w14:val="tx1"/>
                  </w14:solidFill>
                </w14:textFill>
              </w:rPr>
              <w:t>基础设施完全不能满足质量管理体系运行，</w:t>
            </w:r>
            <w:r>
              <w:rPr>
                <w:color w:val="000000" w:themeColor="text1"/>
                <w:highlight w:val="none"/>
                <w14:textFill>
                  <w14:solidFill>
                    <w14:schemeClr w14:val="tx1"/>
                  </w14:solidFill>
                </w14:textFill>
              </w:rPr>
              <w:t>需要从外部供方获得</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组织的</w:t>
            </w:r>
            <w:r>
              <w:rPr>
                <w:color w:val="000000" w:themeColor="text1"/>
                <w:highlight w:val="none"/>
                <w14:textFill>
                  <w14:solidFill>
                    <w14:schemeClr w14:val="tx1"/>
                  </w14:solidFill>
                </w14:textFill>
              </w:rPr>
              <w:t>监视和测量资源</w:t>
            </w:r>
            <w:r>
              <w:rPr>
                <w:rFonts w:hint="eastAsia"/>
                <w:color w:val="000000" w:themeColor="text1"/>
                <w:highlight w:val="none"/>
                <w14:textFill>
                  <w14:solidFill>
                    <w14:schemeClr w14:val="tx1"/>
                  </w14:solidFill>
                </w14:textFill>
              </w:rPr>
              <w:t>：</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计量器具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服务流程检查表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计量器具的</w:t>
            </w:r>
            <w:r>
              <w:rPr>
                <w:color w:val="000000" w:themeColor="text1"/>
                <w:highlight w:val="none"/>
                <w14:textFill>
                  <w14:solidFill>
                    <w14:schemeClr w14:val="tx1"/>
                  </w14:solidFill>
                </w14:textFill>
              </w:rPr>
              <w:t>测量溯源</w:t>
            </w:r>
            <w:r>
              <w:rPr>
                <w:rFonts w:hint="eastAsia"/>
                <w:color w:val="000000" w:themeColor="text1"/>
                <w:highlight w:val="none"/>
                <w14:textFill>
                  <w14:solidFill>
                    <w14:schemeClr w14:val="tx1"/>
                  </w14:solidFill>
                </w14:textFill>
              </w:rPr>
              <w:t xml:space="preserve">方法：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自校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外校 </w:t>
            </w:r>
          </w:p>
          <w:p>
            <w:pPr>
              <w:shd w:val="clear" w:color="auto" w:fill="C7DAF1" w:themeFill="text2" w:themeFillTint="3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国家强检的计量器具有：</w:t>
            </w:r>
            <w:r>
              <w:rPr>
                <w:rFonts w:hint="eastAsia"/>
                <w:color w:val="000000" w:themeColor="text1"/>
                <w:highlight w:val="none"/>
                <w:u w:val="single"/>
                <w14:textFill>
                  <w14:solidFill>
                    <w14:schemeClr w14:val="tx1"/>
                  </w14:solidFill>
                </w14:textFill>
              </w:rPr>
              <w:t xml:space="preserve">    卡尺、深度尺、杠杆千分尺等</w:t>
            </w:r>
          </w:p>
          <w:p>
            <w:pPr>
              <w:shd w:val="clear" w:color="auto" w:fill="C7DAF1" w:themeFill="text2" w:themeFillTint="32"/>
              <w:rPr>
                <w:color w:val="000000" w:themeColor="text1"/>
                <w:highlight w:val="none"/>
                <w:u w:val="single"/>
              </w:rPr>
            </w:pPr>
            <w:r>
              <w:rPr>
                <w:rFonts w:hint="eastAsia"/>
                <w:color w:val="000000" w:themeColor="text1"/>
                <w:highlight w:val="none"/>
                <w14:textFill>
                  <w14:solidFill>
                    <w14:schemeClr w14:val="tx1"/>
                  </w14:solidFill>
                </w14:textFill>
              </w:rPr>
              <w:t>计量器具管理：</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进行了定期校准/检定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未进行定期校准/检定的有：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宋体" w:hAnsi="宋体" w:cs="宋体"/>
                      <w:color w:val="000000"/>
                      <w:kern w:val="0"/>
                      <w:szCs w:val="21"/>
                    </w:rPr>
                  </w:pPr>
                  <w:r>
                    <w:rPr>
                      <w:rFonts w:ascii="宋体" w:hAnsi="宋体" w:cs="宋体"/>
                      <w:color w:val="000000"/>
                      <w:kern w:val="0"/>
                      <w:szCs w:val="21"/>
                    </w:rPr>
                    <w:t>摩托车机油滤清器、通用机械发动机气缸头的生产</w:t>
                  </w:r>
                  <w:r>
                    <w:rPr>
                      <w:rFonts w:hint="eastAsia" w:ascii="宋体" w:hAnsi="宋体" w:cs="宋体"/>
                      <w:color w:val="000000"/>
                      <w:kern w:val="0"/>
                      <w:szCs w:val="21"/>
                    </w:rPr>
                    <w:t xml:space="preserve"> </w:t>
                  </w:r>
                </w:p>
              </w:tc>
              <w:tc>
                <w:tcPr>
                  <w:tcW w:w="3665" w:type="dxa"/>
                  <w:vAlign w:val="top"/>
                </w:tcPr>
                <w:p>
                  <w:pPr>
                    <w:shd w:val="clear" w:color="auto" w:fill="C7DAF1" w:themeFill="text2" w:themeFillTint="32"/>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压铸、机加过程</w:t>
                  </w:r>
                </w:p>
              </w:tc>
              <w:tc>
                <w:tcPr>
                  <w:tcW w:w="3265" w:type="dxa"/>
                  <w:vAlign w:val="top"/>
                </w:tcPr>
                <w:p>
                  <w:pPr>
                    <w:shd w:val="clear" w:color="auto" w:fill="C7DAF1" w:themeFill="text2" w:themeFillTint="32"/>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尺寸、外观、表面质量、材质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592" w:type="dxa"/>
                </w:tcPr>
                <w:p>
                  <w:pPr>
                    <w:shd w:val="clear" w:color="auto" w:fill="C7DAF1" w:themeFill="text2" w:themeFillTint="32"/>
                    <w:jc w:val="left"/>
                    <w:rPr>
                      <w:highlight w:val="none"/>
                    </w:rPr>
                  </w:pP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rFonts w:hint="eastAsia" w:ascii="Wingdings" w:hAnsi="Wingdings"/>
                <w:color w:val="000000" w:themeColor="text1"/>
                <w:highlight w:val="none"/>
                <w:lang w:eastAsia="zh-CN"/>
              </w:rPr>
            </w:pPr>
          </w:p>
          <w:p>
            <w:pPr>
              <w:shd w:val="clear" w:color="auto" w:fill="C7DAF1" w:themeFill="text2" w:themeFillTint="32"/>
              <w:jc w:val="left"/>
              <w:rPr>
                <w:rFonts w:hint="eastAsia" w:ascii="Wingdings" w:hAnsi="Wingdings"/>
                <w:color w:val="000000" w:themeColor="text1"/>
                <w:highlight w:val="none"/>
                <w:lang w:eastAsia="zh-CN"/>
              </w:rPr>
            </w:pPr>
            <w:r>
              <w:rPr>
                <w:rFonts w:hint="eastAsia" w:ascii="Wingdings" w:hAnsi="Wingdings"/>
                <w:color w:val="000000" w:themeColor="text1"/>
                <w:highlight w:val="none"/>
                <w:lang w:eastAsia="zh-CN"/>
              </w:rPr>
              <w:t>需要确认的过程： 抛丸、钝化            ，</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□进行了有效的确认□存在不</w:t>
            </w:r>
            <w:r>
              <w:rPr>
                <w:rFonts w:hint="eastAsia"/>
                <w:color w:val="000000" w:themeColor="text1"/>
                <w:highlight w:val="none"/>
              </w:rPr>
              <w:t>足，说明</w:t>
            </w:r>
            <w:r>
              <w:rPr>
                <w:rFonts w:hint="eastAsia"/>
                <w:color w:val="000000" w:themeColor="text1"/>
                <w:highlight w:val="none"/>
                <w:lang w:eastAsia="zh-CN"/>
              </w:rPr>
              <w:t>：该过程为外包过程，按《采购控制程序》进行控制</w:t>
            </w:r>
          </w:p>
          <w:p>
            <w:pPr>
              <w:shd w:val="clear" w:color="auto" w:fill="C7DAF1" w:themeFill="text2" w:themeFillTint="32"/>
              <w:jc w:val="left"/>
            </w:pPr>
            <w:r>
              <w:rPr>
                <w:rFonts w:hint="eastAsia"/>
                <w:color w:val="000000" w:themeColor="text1"/>
                <w:highlight w:val="none"/>
              </w:rPr>
              <w:t>对生产和服务提供过程的</w:t>
            </w:r>
            <w:r>
              <w:rPr>
                <w:rFonts w:hint="eastAsia"/>
                <w:color w:val="000000" w:themeColor="text1"/>
              </w:rPr>
              <w:t>控制</w:t>
            </w:r>
            <w:r>
              <w:rPr>
                <w:rFonts w:hint="eastAsia" w:ascii="Wingdings" w:hAnsi="Wingdings"/>
                <w:color w:val="000000" w:themeColor="text1"/>
                <w:lang w:eastAsia="zh-CN"/>
              </w:rPr>
              <w:t>■</w:t>
            </w:r>
            <w:r>
              <w:rPr>
                <w:rFonts w:hint="eastAsia"/>
                <w:color w:val="000000" w:themeColor="text1"/>
              </w:rPr>
              <w:t xml:space="preserve">符合要求 </w:t>
            </w:r>
            <w:r>
              <w:rPr>
                <w:rFonts w:hint="eastAsia" w:ascii="Wingdings" w:hAnsi="Wingdings"/>
                <w:color w:val="000000" w:themeColor="text1"/>
                <w:lang w:eastAsia="zh-CN"/>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目前的顾客或外部供方财产包括：</w:t>
            </w:r>
          </w:p>
          <w:p>
            <w:pPr>
              <w:shd w:val="clear" w:color="auto" w:fill="C7DAF1" w:themeFill="text2" w:themeFillTint="32"/>
            </w:pP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原材料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设备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检测设备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图纸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配方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个人信</w:t>
            </w:r>
            <w:r>
              <w:rPr>
                <w:rFonts w:hint="eastAsia"/>
                <w:color w:val="000000" w:themeColor="text1"/>
                <w14:textFill>
                  <w14:solidFill>
                    <w14:schemeClr w14:val="tx1"/>
                  </w14:solidFill>
                </w14:textFill>
              </w:rPr>
              <w:t>息</w:t>
            </w:r>
            <w:r>
              <w:rPr>
                <w:rFonts w:hint="eastAsia"/>
                <w:color w:val="0000FF"/>
              </w:rPr>
              <w:t xml:space="preserve">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highlight w:val="none"/>
                <w:lang w:eastAsia="zh-CN"/>
              </w:rPr>
              <w:t>■</w:t>
            </w:r>
            <w:r>
              <w:rPr>
                <w:rFonts w:hint="eastAsia"/>
                <w:highlight w:val="none"/>
              </w:rPr>
              <w:t xml:space="preserve">维修 </w:t>
            </w:r>
            <w:r>
              <w:rPr>
                <w:rFonts w:hint="eastAsia"/>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color w:val="000000"/>
                <w:szCs w:val="18"/>
              </w:rPr>
              <w:t>2021年6月15日——6月16日</w:t>
            </w:r>
            <w:r>
              <w:rPr>
                <w:rFonts w:hint="eastAsia"/>
                <w:highlight w:val="none"/>
              </w:rPr>
              <w:t>实施了质量管理体系内部审核，对质量管理体系的符合性和有效性进行了审核。内审发现的</w:t>
            </w:r>
            <w:r>
              <w:rPr>
                <w:rFonts w:hint="eastAsia"/>
                <w:highlight w:val="none"/>
                <w:u w:val="single"/>
                <w:lang w:val="en-US" w:eastAsia="zh-CN"/>
              </w:rPr>
              <w:t>2</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sz w:val="24"/>
              </w:rPr>
              <w:t>2021年</w:t>
            </w:r>
            <w:r>
              <w:rPr>
                <w:rFonts w:hint="eastAsia" w:ascii="宋体" w:hAnsi="宋体"/>
                <w:sz w:val="24"/>
                <w:lang w:val="en-US" w:eastAsia="zh-CN"/>
              </w:rPr>
              <w:t>7</w:t>
            </w:r>
            <w:r>
              <w:rPr>
                <w:rFonts w:hint="eastAsia" w:ascii="宋体" w:hAnsi="宋体"/>
                <w:sz w:val="24"/>
              </w:rPr>
              <w:t>月2</w:t>
            </w:r>
            <w:r>
              <w:rPr>
                <w:rFonts w:hint="eastAsia" w:ascii="宋体" w:hAnsi="宋体"/>
                <w:sz w:val="24"/>
                <w:lang w:val="en-US" w:eastAsia="zh-CN"/>
              </w:rPr>
              <w:t>0</w:t>
            </w:r>
            <w:r>
              <w:rPr>
                <w:rFonts w:hint="eastAsia" w:ascii="宋体" w:hAnsi="宋体"/>
                <w:sz w:val="24"/>
                <w:lang w:eastAsia="zh-CN"/>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33"/>
        <w:gridCol w:w="642"/>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4.1</w:t>
            </w: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4.3</w:t>
            </w: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4.4</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5.1</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5.2</w:t>
            </w:r>
          </w:p>
        </w:tc>
        <w:tc>
          <w:tcPr>
            <w:tcW w:w="74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5.3</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6.1</w:t>
            </w:r>
          </w:p>
        </w:tc>
        <w:tc>
          <w:tcPr>
            <w:tcW w:w="56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6.2</w:t>
            </w:r>
          </w:p>
        </w:tc>
        <w:tc>
          <w:tcPr>
            <w:tcW w:w="101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6.3</w:t>
            </w:r>
          </w:p>
        </w:tc>
        <w:tc>
          <w:tcPr>
            <w:tcW w:w="644"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533"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2"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3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38"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0"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60"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101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4"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6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101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4"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7.1</w:t>
            </w: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7.2</w:t>
            </w: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7.3</w:t>
            </w: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7.4</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7.5</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74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8.2</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56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8.4</w:t>
            </w:r>
          </w:p>
        </w:tc>
        <w:tc>
          <w:tcPr>
            <w:tcW w:w="101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644"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8.6</w:t>
            </w:r>
          </w:p>
        </w:tc>
        <w:tc>
          <w:tcPr>
            <w:tcW w:w="556"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533"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2"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3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38"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0"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560" w:type="dxa"/>
            <w:vAlign w:val="center"/>
          </w:tcPr>
          <w:p>
            <w:pPr>
              <w:shd w:val="clear" w:color="auto" w:fill="C7DAF1" w:themeFill="text2" w:themeFillTint="3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01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4" w:type="dxa"/>
            <w:vAlign w:val="center"/>
          </w:tcPr>
          <w:p>
            <w:pPr>
              <w:shd w:val="clear" w:color="auto" w:fill="C7DAF1" w:themeFill="text2" w:themeFillTint="3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56"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60" w:type="dxa"/>
            <w:tcBorders>
              <w:bottom w:val="single" w:color="auto" w:sz="4" w:space="0"/>
            </w:tcBorders>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bookmarkStart w:id="31" w:name="_GoBack"/>
            <w:bookmarkEnd w:id="31"/>
          </w:p>
        </w:tc>
        <w:tc>
          <w:tcPr>
            <w:tcW w:w="1011"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4" w:type="dxa"/>
            <w:tcBorders>
              <w:bottom w:val="single" w:color="auto" w:sz="4" w:space="0"/>
            </w:tcBorders>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p>
        </w:tc>
        <w:tc>
          <w:tcPr>
            <w:tcW w:w="556"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9.1</w:t>
            </w: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9.2</w:t>
            </w: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9.3</w:t>
            </w: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10.2</w:t>
            </w: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10.3</w:t>
            </w:r>
          </w:p>
        </w:tc>
        <w:tc>
          <w:tcPr>
            <w:tcW w:w="74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533"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2"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31" w:type="dxa"/>
            <w:vAlign w:val="center"/>
          </w:tcPr>
          <w:p>
            <w:pPr>
              <w:shd w:val="clear" w:color="auto" w:fill="C7DAF1" w:themeFill="text2" w:themeFillTint="3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38"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74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bl>
    <w:p>
      <w:pPr>
        <w:shd w:val="clear" w:color="auto" w:fill="C7DAF1" w:themeFill="text2" w:themeFillTint="32"/>
        <w:rPr>
          <w:highlight w:val="none"/>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rPr>
          <w:rFonts w:ascii="Times New Roman" w:hAnsi="Times New Roman" w:eastAsia="宋体" w:cs="Times New Roman"/>
        </w:rPr>
      </w:pPr>
      <w:r>
        <w:tab/>
      </w:r>
      <w:r>
        <w:rPr>
          <w:rFonts w:ascii="Times New Roman" w:hAnsi="Times New Roman" w:eastAsia="宋体" w:cs="Times New Roman"/>
        </w:rPr>
        <w:tab/>
      </w:r>
      <w:r>
        <w:rPr>
          <w:rFonts w:ascii="Times New Roman" w:hAnsi="Times New Roman" w:eastAsia="宋体" w:cs="Times New Roman"/>
        </w:rPr>
        <w:t xml:space="preserve">3 =失效/不符合(参见不符合报告)  </w:t>
      </w:r>
    </w:p>
    <w:p>
      <w:pPr>
        <w:shd w:val="clear" w:color="auto" w:fill="C7DAF1" w:themeFill="text2" w:themeFillTint="32"/>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 =不适用</w:t>
      </w:r>
    </w:p>
    <w:p>
      <w:pPr>
        <w:shd w:val="clear" w:color="auto" w:fill="C7DAF1" w:themeFill="text2" w:themeFillTint="32"/>
        <w:rPr>
          <w:rFonts w:ascii="Times New Roman" w:hAnsi="Times New Roman" w:eastAsia="宋体" w:cs="Times New Roma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7D5A3F"/>
    <w:rsid w:val="1848492B"/>
    <w:rsid w:val="194469A2"/>
    <w:rsid w:val="1A1B42C5"/>
    <w:rsid w:val="23A8750A"/>
    <w:rsid w:val="26876F91"/>
    <w:rsid w:val="30846AB2"/>
    <w:rsid w:val="31F63FAD"/>
    <w:rsid w:val="4399045C"/>
    <w:rsid w:val="4B342C45"/>
    <w:rsid w:val="528D1DE4"/>
    <w:rsid w:val="5887631E"/>
    <w:rsid w:val="5DF065CD"/>
    <w:rsid w:val="61082F92"/>
    <w:rsid w:val="612C1320"/>
    <w:rsid w:val="6275699A"/>
    <w:rsid w:val="6BDE4F76"/>
    <w:rsid w:val="72B37EA3"/>
    <w:rsid w:val="75617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字符"/>
    <w:basedOn w:val="11"/>
    <w:link w:val="5"/>
    <w:qFormat/>
    <w:uiPriority w:val="99"/>
    <w:rPr>
      <w:rFonts w:ascii="Times New Roman" w:hAnsi="Times New Roman" w:eastAsia="宋体" w:cs="Times New Roman"/>
      <w:sz w:val="18"/>
      <w:szCs w:val="18"/>
    </w:rPr>
  </w:style>
  <w:style w:type="character" w:customStyle="1" w:styleId="16">
    <w:name w:val="页脚 字符"/>
    <w:basedOn w:val="11"/>
    <w:link w:val="4"/>
    <w:qFormat/>
    <w:uiPriority w:val="99"/>
    <w:rPr>
      <w:rFonts w:ascii="Times New Roman" w:hAnsi="Times New Roman" w:eastAsia="宋体" w:cs="Times New Roman"/>
      <w:sz w:val="18"/>
      <w:szCs w:val="18"/>
    </w:rPr>
  </w:style>
  <w:style w:type="character" w:customStyle="1" w:styleId="17">
    <w:name w:val="批注框文本 字符"/>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2021-10-11T07:31:10Z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