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12"/>
        <w:gridCol w:w="10642"/>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12"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42" w:type="dxa"/>
            <w:vAlign w:val="center"/>
          </w:tcPr>
          <w:p>
            <w:pPr>
              <w:rPr>
                <w:sz w:val="24"/>
                <w:szCs w:val="24"/>
              </w:rPr>
            </w:pPr>
            <w:r>
              <w:rPr>
                <w:rFonts w:hint="eastAsia"/>
                <w:sz w:val="24"/>
                <w:szCs w:val="24"/>
              </w:rPr>
              <w:t>受审核部门：管理层(含安全事务代表）</w:t>
            </w:r>
          </w:p>
          <w:p>
            <w:pPr>
              <w:rPr>
                <w:sz w:val="24"/>
                <w:szCs w:val="24"/>
              </w:rPr>
            </w:pPr>
            <w:r>
              <w:rPr>
                <w:rFonts w:hint="eastAsia"/>
                <w:sz w:val="24"/>
                <w:szCs w:val="24"/>
              </w:rPr>
              <w:t>主管领导：领导层</w:t>
            </w:r>
            <w:r>
              <w:rPr>
                <w:rFonts w:hint="eastAsia"/>
                <w:sz w:val="24"/>
                <w:szCs w:val="22"/>
              </w:rPr>
              <w:t xml:space="preserve">   主管领导：姜子炎   管理者代表：钱科  安全事务代表：王翌婷</w:t>
            </w:r>
          </w:p>
        </w:tc>
        <w:tc>
          <w:tcPr>
            <w:tcW w:w="8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1012" w:type="dxa"/>
            <w:vMerge w:val="continue"/>
            <w:vAlign w:val="center"/>
          </w:tcPr>
          <w:p/>
        </w:tc>
        <w:tc>
          <w:tcPr>
            <w:tcW w:w="10642" w:type="dxa"/>
            <w:vAlign w:val="center"/>
          </w:tcPr>
          <w:p>
            <w:pPr>
              <w:rPr>
                <w:sz w:val="24"/>
                <w:szCs w:val="24"/>
              </w:rPr>
            </w:pPr>
            <w:r>
              <w:rPr>
                <w:rFonts w:hint="eastAsia"/>
                <w:sz w:val="24"/>
                <w:szCs w:val="24"/>
              </w:rPr>
              <w:t>审核员：李雅静                 审核时间：20</w:t>
            </w:r>
            <w:r>
              <w:rPr>
                <w:sz w:val="24"/>
                <w:szCs w:val="24"/>
              </w:rPr>
              <w:t>21</w:t>
            </w:r>
            <w:r>
              <w:rPr>
                <w:rFonts w:hint="eastAsia"/>
                <w:sz w:val="24"/>
                <w:szCs w:val="24"/>
              </w:rPr>
              <w:t>年1</w:t>
            </w:r>
            <w:r>
              <w:rPr>
                <w:sz w:val="24"/>
                <w:szCs w:val="24"/>
              </w:rPr>
              <w:t>0</w:t>
            </w:r>
            <w:r>
              <w:rPr>
                <w:rFonts w:hint="eastAsia"/>
                <w:sz w:val="24"/>
                <w:szCs w:val="24"/>
              </w:rPr>
              <w:t>月20日</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1012" w:type="dxa"/>
            <w:vMerge w:val="continue"/>
            <w:vAlign w:val="center"/>
          </w:tcPr>
          <w:p/>
        </w:tc>
        <w:tc>
          <w:tcPr>
            <w:tcW w:w="10642" w:type="dxa"/>
            <w:vAlign w:val="center"/>
          </w:tcPr>
          <w:p>
            <w:pPr>
              <w:rPr>
                <w:rFonts w:ascii="宋体" w:hAnsi="宋体"/>
                <w:sz w:val="18"/>
              </w:rPr>
            </w:pPr>
            <w:r>
              <w:rPr>
                <w:rFonts w:hint="eastAsia"/>
                <w:sz w:val="24"/>
                <w:szCs w:val="24"/>
              </w:rPr>
              <w:t>审核条款：</w:t>
            </w:r>
            <w:r>
              <w:rPr>
                <w:rFonts w:ascii="宋体" w:hAnsi="宋体"/>
                <w:sz w:val="18"/>
              </w:rPr>
              <w:t xml:space="preserve"> </w:t>
            </w:r>
          </w:p>
          <w:p>
            <w:pPr>
              <w:rPr>
                <w:rFonts w:ascii="宋体" w:hAnsi="宋体"/>
                <w:sz w:val="18"/>
              </w:rPr>
            </w:pPr>
            <w:r>
              <w:rPr>
                <w:rFonts w:ascii="宋体" w:hAnsi="宋体"/>
                <w:sz w:val="18"/>
              </w:rPr>
              <w:t>E:4.1/4.2/4.3/4.4/5.1/5.2/5.3/6.1.1/6.1.4/6.2/7.1/</w:t>
            </w:r>
            <w:r>
              <w:rPr>
                <w:rFonts w:hint="eastAsia" w:ascii="宋体" w:hAnsi="宋体"/>
                <w:sz w:val="18"/>
              </w:rPr>
              <w:t>7.4/9.1.1/</w:t>
            </w:r>
            <w:r>
              <w:rPr>
                <w:rFonts w:ascii="宋体" w:hAnsi="宋体"/>
                <w:sz w:val="18"/>
              </w:rPr>
              <w:t>9.3/10.1/10.3</w:t>
            </w:r>
          </w:p>
          <w:p>
            <w:pPr>
              <w:rPr>
                <w:rFonts w:ascii="宋体" w:hAnsi="宋体"/>
                <w:sz w:val="18"/>
              </w:rPr>
            </w:pPr>
            <w:r>
              <w:rPr>
                <w:rFonts w:ascii="宋体" w:hAnsi="宋体"/>
                <w:sz w:val="18"/>
              </w:rPr>
              <w:t>S:4.1/4.2/4.3/4.4/5.1/5.2/5.3/6.1.1/6.1.4/6.2/7.1/</w:t>
            </w:r>
            <w:r>
              <w:rPr>
                <w:rFonts w:hint="eastAsia" w:ascii="宋体" w:hAnsi="宋体"/>
                <w:sz w:val="18"/>
              </w:rPr>
              <w:t>7.4/8.2/9.1.1/</w:t>
            </w:r>
            <w:r>
              <w:rPr>
                <w:rFonts w:ascii="宋体" w:hAnsi="宋体"/>
                <w:sz w:val="18"/>
              </w:rPr>
              <w:t>9.3/10.1/10.</w:t>
            </w:r>
            <w:r>
              <w:rPr>
                <w:rFonts w:hint="eastAsia" w:ascii="宋体" w:hAnsi="宋体"/>
                <w:sz w:val="18"/>
              </w:rPr>
              <w:t>2</w:t>
            </w:r>
          </w:p>
          <w:p>
            <w:pPr>
              <w:rPr>
                <w:sz w:val="24"/>
                <w:szCs w:val="24"/>
              </w:rPr>
            </w:pPr>
            <w:r>
              <w:rPr>
                <w:rFonts w:hint="eastAsia" w:ascii="宋体" w:hAnsi="宋体"/>
                <w:sz w:val="18"/>
              </w:rPr>
              <w:t>资质验证/范围再确认/</w:t>
            </w:r>
            <w:r>
              <w:rPr>
                <w:rFonts w:hint="eastAsia" w:ascii="宋体" w:hAnsi="宋体"/>
                <w:sz w:val="18"/>
                <w:lang w:val="en-US" w:eastAsia="zh-CN"/>
              </w:rPr>
              <w:t>初审</w:t>
            </w:r>
            <w:r>
              <w:rPr>
                <w:rFonts w:hint="eastAsia" w:ascii="宋体" w:hAnsi="宋体"/>
                <w:sz w:val="18"/>
              </w:rPr>
              <w:t>问题验证/投诉或事故/政府主管部门监督抽查情况</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80" w:lineRule="exact"/>
              <w:rPr>
                <w:rFonts w:ascii="宋体" w:hAnsi="宋体" w:cs="宋体"/>
                <w:szCs w:val="21"/>
              </w:rPr>
            </w:pPr>
            <w:r>
              <w:rPr>
                <w:rFonts w:hint="eastAsia" w:ascii="宋体" w:hAnsi="宋体" w:cs="宋体"/>
                <w:szCs w:val="21"/>
              </w:rPr>
              <w:t>理解组织及其环境</w:t>
            </w:r>
          </w:p>
          <w:p>
            <w:pPr>
              <w:spacing w:line="280" w:lineRule="exact"/>
              <w:rPr>
                <w:rFonts w:ascii="宋体" w:hAnsi="宋体" w:cs="宋体"/>
                <w:szCs w:val="21"/>
              </w:rPr>
            </w:pPr>
            <w:r>
              <w:rPr>
                <w:rFonts w:hint="eastAsia" w:ascii="宋体" w:hAnsi="宋体" w:cs="宋体"/>
                <w:szCs w:val="21"/>
              </w:rPr>
              <w:t>总要求</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ES</w:t>
            </w:r>
          </w:p>
          <w:p>
            <w:pPr>
              <w:spacing w:line="280" w:lineRule="exact"/>
              <w:rPr>
                <w:rFonts w:ascii="宋体" w:hAnsi="宋体" w:cs="宋体"/>
                <w:szCs w:val="21"/>
              </w:rPr>
            </w:pPr>
            <w:r>
              <w:rPr>
                <w:rFonts w:hint="eastAsia" w:ascii="宋体" w:hAnsi="宋体" w:cs="宋体"/>
                <w:szCs w:val="21"/>
              </w:rPr>
              <w:t>4.1</w:t>
            </w:r>
          </w:p>
          <w:p>
            <w:pPr>
              <w:spacing w:line="280" w:lineRule="exact"/>
            </w:pPr>
          </w:p>
        </w:tc>
        <w:tc>
          <w:tcPr>
            <w:tcW w:w="10642" w:type="dxa"/>
            <w:vAlign w:val="center"/>
          </w:tcPr>
          <w:p>
            <w:pPr>
              <w:rPr>
                <w:sz w:val="20"/>
              </w:rPr>
            </w:pPr>
            <w:bookmarkStart w:id="0" w:name="审核范围"/>
            <w:r>
              <w:rPr>
                <w:rFonts w:hint="eastAsia"/>
                <w:sz w:val="20"/>
              </w:rPr>
              <w:t>在确定管理体系范围时公司考虑了以下内容：a各种内部和外部因素；b相关方的要求，包括相关合规义务；c组织的活动、产品和产品；d其组织单元、职能和物理边界。</w:t>
            </w:r>
          </w:p>
          <w:p>
            <w:pPr>
              <w:pStyle w:val="2"/>
            </w:pPr>
            <w:r>
              <w:rPr>
                <w:rFonts w:hint="eastAsia"/>
              </w:rPr>
              <w:t>认证范围：</w:t>
            </w:r>
          </w:p>
          <w:bookmarkEnd w:id="0"/>
          <w:p>
            <w:pPr>
              <w:rPr>
                <w:rFonts w:hint="eastAsia"/>
                <w:sz w:val="20"/>
              </w:rPr>
            </w:pPr>
            <w:r>
              <w:rPr>
                <w:rFonts w:hint="eastAsia"/>
                <w:sz w:val="20"/>
              </w:rPr>
              <w:t>E：智能化控制系统（建筑行业、智慧城市领域）开发，智能化控制器（建筑行业、智慧城市领域）销售所涉及的相关环境管理活动</w:t>
            </w:r>
          </w:p>
          <w:p>
            <w:pPr>
              <w:rPr>
                <w:rFonts w:hint="eastAsia"/>
                <w:sz w:val="20"/>
              </w:rPr>
            </w:pPr>
            <w:r>
              <w:rPr>
                <w:rFonts w:hint="eastAsia"/>
                <w:sz w:val="20"/>
              </w:rPr>
              <w:t>O：智能化控制系统（建筑行业、智慧城市领域）开发，智能化控制器（建筑行业、智慧城市领域）销售所涉及的相关职业健康安全管理活动</w:t>
            </w:r>
          </w:p>
          <w:p>
            <w:pPr>
              <w:rPr>
                <w:rFonts w:ascii="宋体" w:hAnsi="宋体" w:cs="宋体"/>
                <w:szCs w:val="21"/>
              </w:rPr>
            </w:pPr>
            <w:r>
              <w:rPr>
                <w:rFonts w:hint="eastAsia" w:ascii="宋体" w:hAnsi="宋体" w:cs="宋体"/>
                <w:szCs w:val="21"/>
              </w:rPr>
              <w:t>公司管理体系设置了技术部，商务部</w:t>
            </w:r>
          </w:p>
          <w:p>
            <w:pPr>
              <w:spacing w:line="280" w:lineRule="exact"/>
              <w:ind w:firstLine="420" w:firstLineChars="200"/>
            </w:pPr>
            <w:r>
              <w:rPr>
                <w:rFonts w:hint="eastAsia" w:ascii="宋体" w:hAnsi="宋体" w:cs="宋体"/>
                <w:szCs w:val="21"/>
              </w:rPr>
              <w:t>总经理姜子炎先生</w:t>
            </w:r>
            <w:r>
              <w:rPr>
                <w:rFonts w:hint="eastAsia"/>
                <w:sz w:val="24"/>
                <w:szCs w:val="24"/>
              </w:rPr>
              <w:t xml:space="preserve">  </w:t>
            </w:r>
            <w:r>
              <w:rPr>
                <w:rFonts w:hint="eastAsia" w:ascii="宋体" w:hAnsi="宋体" w:cs="宋体"/>
                <w:szCs w:val="21"/>
              </w:rPr>
              <w:t>公司推行管理体系的目的通过体系认证已经达到。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公司每年从市场、客户、网络等搜集到的信息并结合公司自身业务运作情况进行分析，通过分析对这些内部和外部因素的相关信息进行监视和评审以确保其充分和适宜。</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160" w:type="dxa"/>
          </w:tcPr>
          <w:p>
            <w:pPr>
              <w:spacing w:line="280" w:lineRule="exact"/>
              <w:rPr>
                <w:rFonts w:ascii="宋体" w:hAnsi="宋体" w:cs="宋体"/>
                <w:szCs w:val="21"/>
              </w:rPr>
            </w:pPr>
            <w:r>
              <w:rPr>
                <w:rFonts w:hint="eastAsia" w:ascii="宋体" w:hAnsi="宋体" w:cs="宋体"/>
                <w:szCs w:val="21"/>
              </w:rPr>
              <w:t>理解相关方的需求和期望</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ES4.2</w:t>
            </w:r>
          </w:p>
          <w:p>
            <w:pPr>
              <w:spacing w:line="280" w:lineRule="exact"/>
            </w:pPr>
          </w:p>
        </w:tc>
        <w:tc>
          <w:tcPr>
            <w:tcW w:w="10642" w:type="dxa"/>
            <w:vAlign w:val="center"/>
          </w:tcPr>
          <w:p>
            <w:pPr>
              <w:spacing w:line="280" w:lineRule="exact"/>
              <w:ind w:firstLine="420" w:firstLineChars="200"/>
              <w:rPr>
                <w:rFonts w:ascii="宋体" w:hAnsi="宋体" w:cs="宋体"/>
                <w:szCs w:val="21"/>
              </w:rPr>
            </w:pPr>
            <w:r>
              <w:rPr>
                <w:rFonts w:hint="eastAsia" w:ascii="宋体" w:hAnsi="宋体" w:cs="宋体"/>
                <w:szCs w:val="21"/>
              </w:rPr>
              <w:t>公司对这些相关方及其要求的相关信息进行监视和评审，以便于理解和持续满足相关方的需求和期望。</w:t>
            </w:r>
          </w:p>
          <w:p>
            <w:pPr>
              <w:spacing w:line="280" w:lineRule="exact"/>
              <w:ind w:firstLine="420" w:firstLineChars="200"/>
              <w:rPr>
                <w:rFonts w:ascii="宋体" w:hAnsi="宋体" w:cs="宋体"/>
                <w:szCs w:val="21"/>
              </w:rPr>
            </w:pPr>
            <w:r>
              <w:rPr>
                <w:rFonts w:hint="eastAsia" w:ascii="宋体" w:hAnsi="宋体" w:cs="宋体"/>
                <w:szCs w:val="21"/>
              </w:rPr>
              <w:t>本公司考虑以下相关方：--顾客；--最终用户或受益人；股东；---外部供应商；--雇员及其他为组织工作者；--法律法规及监管机关；--地方社区团体；--非政府组织等。</w:t>
            </w:r>
          </w:p>
          <w:p>
            <w:pPr>
              <w:spacing w:line="280" w:lineRule="exact"/>
              <w:ind w:firstLine="420" w:firstLineChars="200"/>
            </w:pPr>
            <w:r>
              <w:rPr>
                <w:rFonts w:hint="eastAsia" w:ascii="宋体" w:hAnsi="宋体" w:cs="宋体"/>
                <w:szCs w:val="21"/>
              </w:rPr>
              <w:t>目前顾客的主要需求期望是：提供顾客满意的服务。相关方的期望较之前有较大提升。</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2160" w:type="dxa"/>
          </w:tcPr>
          <w:p>
            <w:pPr>
              <w:spacing w:line="280" w:lineRule="exact"/>
              <w:rPr>
                <w:rFonts w:ascii="宋体" w:hAnsi="宋体" w:cs="宋体"/>
                <w:szCs w:val="21"/>
              </w:rPr>
            </w:pPr>
            <w:r>
              <w:rPr>
                <w:rFonts w:hint="eastAsia" w:ascii="宋体" w:hAnsi="宋体" w:cs="宋体"/>
                <w:szCs w:val="21"/>
              </w:rPr>
              <w:t>确定管理体系的范围</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ES4.3</w:t>
            </w:r>
          </w:p>
          <w:p>
            <w:pPr>
              <w:spacing w:line="280" w:lineRule="exact"/>
            </w:pPr>
          </w:p>
        </w:tc>
        <w:tc>
          <w:tcPr>
            <w:tcW w:w="10642" w:type="dxa"/>
            <w:vAlign w:val="center"/>
          </w:tcPr>
          <w:p>
            <w:pPr>
              <w:spacing w:line="280" w:lineRule="exact"/>
              <w:ind w:firstLine="420" w:firstLineChars="200"/>
              <w:jc w:val="left"/>
              <w:rPr>
                <w:rFonts w:ascii="宋体" w:hAnsi="宋体" w:cs="宋体"/>
                <w:szCs w:val="21"/>
              </w:rPr>
            </w:pPr>
            <w:r>
              <w:rPr>
                <w:rFonts w:hint="eastAsia" w:ascii="宋体" w:hAnsi="宋体" w:cs="宋体"/>
                <w:szCs w:val="21"/>
              </w:rPr>
              <w:t>公司管理体系范围为：</w:t>
            </w:r>
          </w:p>
          <w:p>
            <w:pPr>
              <w:snapToGrid w:val="0"/>
              <w:spacing w:line="420" w:lineRule="auto"/>
              <w:rPr>
                <w:rFonts w:hint="eastAsia" w:ascii="宋体" w:hAnsi="宋体" w:cs="宋体"/>
                <w:szCs w:val="21"/>
              </w:rPr>
            </w:pPr>
            <w:r>
              <w:rPr>
                <w:rFonts w:hint="eastAsia" w:ascii="宋体" w:hAnsi="宋体" w:cs="宋体"/>
                <w:szCs w:val="21"/>
              </w:rPr>
              <w:t>E：智能化控制系统（建筑行业、智慧城市领域）开发，智能化控制器（建筑行业、智慧城市领域）销售所涉及的相关环境管理活动</w:t>
            </w:r>
          </w:p>
          <w:p>
            <w:pPr>
              <w:spacing w:line="360" w:lineRule="auto"/>
              <w:rPr>
                <w:rFonts w:ascii="宋体" w:hAnsi="宋体" w:cs="宋体"/>
                <w:szCs w:val="21"/>
              </w:rPr>
            </w:pPr>
            <w:r>
              <w:rPr>
                <w:rFonts w:hint="eastAsia" w:ascii="宋体" w:hAnsi="宋体" w:cs="宋体"/>
                <w:szCs w:val="21"/>
              </w:rPr>
              <w:t>O：智能化控制系统（建筑行业、智慧城市领域）开发，智能化控制器（建筑行业、智慧城市领域）销售所涉及的相关职业健康安全管理活动</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管理体系及其过程</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ES4.4</w:t>
            </w:r>
          </w:p>
          <w:p>
            <w:pPr>
              <w:spacing w:line="280" w:lineRule="exact"/>
            </w:pPr>
          </w:p>
        </w:tc>
        <w:tc>
          <w:tcPr>
            <w:tcW w:w="10642" w:type="dxa"/>
            <w:vAlign w:val="center"/>
          </w:tcPr>
          <w:p>
            <w:pPr>
              <w:spacing w:line="280" w:lineRule="exact"/>
              <w:ind w:firstLine="420" w:firstLineChars="200"/>
              <w:rPr>
                <w:rFonts w:ascii="宋体" w:hAnsi="宋体" w:cs="宋体"/>
                <w:szCs w:val="21"/>
              </w:rPr>
            </w:pPr>
            <w:r>
              <w:rPr>
                <w:rFonts w:hint="eastAsia" w:ascii="宋体" w:hAnsi="宋体" w:cs="宋体"/>
                <w:szCs w:val="21"/>
              </w:rPr>
              <w:t>该公司2020 年06 月10 日根据自身的实际情况和标准的要求组织人员编制了管理手册、作业文件和记录表格，制定了管理方针和管理目标。实施了管理体系，通过对过程检测结果进行分析管理体系得以不断改进。负责人说管理体系运行以来效果不错管理有了一定的提高。每半年对管理目标完成情况进行统计分析，出示20</w:t>
            </w:r>
            <w:r>
              <w:rPr>
                <w:rFonts w:ascii="宋体" w:hAnsi="宋体" w:cs="宋体"/>
                <w:szCs w:val="21"/>
              </w:rPr>
              <w:t>21</w:t>
            </w:r>
            <w:r>
              <w:rPr>
                <w:rFonts w:hint="eastAsia" w:ascii="宋体" w:hAnsi="宋体" w:cs="宋体"/>
                <w:szCs w:val="21"/>
              </w:rPr>
              <w:t>年管理目标分解及完成情况记录。</w:t>
            </w:r>
          </w:p>
          <w:p>
            <w:pPr>
              <w:spacing w:line="280" w:lineRule="exact"/>
              <w:ind w:firstLine="420" w:firstLineChars="200"/>
              <w:rPr>
                <w:rFonts w:ascii="宋体" w:hAnsi="宋体" w:cs="宋体"/>
                <w:szCs w:val="21"/>
              </w:rPr>
            </w:pPr>
            <w:r>
              <w:rPr>
                <w:rFonts w:hint="eastAsia" w:ascii="宋体" w:hAnsi="宋体" w:cs="宋体"/>
                <w:szCs w:val="21"/>
              </w:rPr>
              <w:t>与负责人交流：部门确定了满足与管理体系有关的客户及相关方的要求。</w:t>
            </w:r>
          </w:p>
          <w:p>
            <w:pPr>
              <w:spacing w:line="280" w:lineRule="exact"/>
              <w:rPr>
                <w:rFonts w:ascii="宋体" w:hAnsi="宋体" w:cs="宋体"/>
                <w:szCs w:val="21"/>
              </w:rPr>
            </w:pPr>
            <w:r>
              <w:rPr>
                <w:rFonts w:hint="eastAsia" w:ascii="宋体" w:hAnsi="宋体" w:cs="宋体"/>
                <w:szCs w:val="21"/>
              </w:rPr>
              <w:t>1.公司通过监视和评审有关相关方及其有关要求的信息，实现持续改进</w:t>
            </w:r>
          </w:p>
          <w:p>
            <w:pPr>
              <w:spacing w:line="280" w:lineRule="exact"/>
              <w:rPr>
                <w:rFonts w:ascii="宋体" w:hAnsi="宋体" w:cs="宋体"/>
                <w:szCs w:val="21"/>
              </w:rPr>
            </w:pPr>
            <w:r>
              <w:rPr>
                <w:rFonts w:hint="eastAsia" w:ascii="宋体" w:hAnsi="宋体" w:cs="宋体"/>
                <w:szCs w:val="21"/>
              </w:rPr>
              <w:t>2. 应对风险的措施：</w:t>
            </w:r>
          </w:p>
          <w:p>
            <w:pPr>
              <w:spacing w:line="280" w:lineRule="exact"/>
              <w:rPr>
                <w:rFonts w:ascii="宋体" w:hAnsi="宋体" w:cs="宋体"/>
                <w:szCs w:val="21"/>
              </w:rPr>
            </w:pPr>
            <w:r>
              <w:rPr>
                <w:rFonts w:hint="eastAsia" w:ascii="宋体" w:hAnsi="宋体" w:cs="宋体"/>
                <w:szCs w:val="21"/>
              </w:rPr>
              <w:t>a) 通过供应商的选择和评定来控制风险，选择供应商时考核其资质及其提供合格产品和合格服务的能力，应与客户需求相匹配。</w:t>
            </w:r>
          </w:p>
          <w:p>
            <w:pPr>
              <w:spacing w:line="280" w:lineRule="exact"/>
              <w:rPr>
                <w:rFonts w:ascii="宋体" w:hAnsi="宋体" w:cs="宋体"/>
                <w:szCs w:val="21"/>
              </w:rPr>
            </w:pPr>
            <w:r>
              <w:rPr>
                <w:rFonts w:hint="eastAsia" w:ascii="宋体" w:hAnsi="宋体" w:cs="宋体"/>
                <w:szCs w:val="21"/>
              </w:rPr>
              <w:t>b)通过签订客户协议和供应商协议的条款把控风险等。</w:t>
            </w:r>
          </w:p>
          <w:p>
            <w:pPr>
              <w:pStyle w:val="2"/>
            </w:pPr>
            <w:r>
              <w:rPr>
                <w:rFonts w:hint="eastAsia"/>
              </w:rPr>
              <w:t>过程确认结果较上一个年度没有变化。</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tcPr>
          <w:p>
            <w:pPr>
              <w:spacing w:line="280" w:lineRule="exact"/>
              <w:rPr>
                <w:rFonts w:ascii="宋体" w:hAnsi="宋体" w:cs="宋体"/>
                <w:szCs w:val="21"/>
              </w:rPr>
            </w:pPr>
            <w:r>
              <w:rPr>
                <w:rFonts w:hint="eastAsia" w:ascii="宋体" w:hAnsi="宋体" w:cs="宋体"/>
                <w:szCs w:val="21"/>
              </w:rPr>
              <w:t>领导作用与承诺</w:t>
            </w:r>
          </w:p>
          <w:p>
            <w:pPr>
              <w:spacing w:line="280" w:lineRule="exact"/>
            </w:pPr>
            <w:r>
              <w:rPr>
                <w:rFonts w:hint="eastAsia" w:ascii="宋体" w:hAnsi="宋体" w:cs="宋体"/>
                <w:szCs w:val="21"/>
              </w:rPr>
              <w:t>--总则</w:t>
            </w:r>
          </w:p>
        </w:tc>
        <w:tc>
          <w:tcPr>
            <w:tcW w:w="1012" w:type="dxa"/>
          </w:tcPr>
          <w:p>
            <w:pPr>
              <w:spacing w:line="280" w:lineRule="exact"/>
              <w:rPr>
                <w:rFonts w:ascii="宋体" w:hAnsi="宋体" w:cs="宋体"/>
                <w:szCs w:val="21"/>
              </w:rPr>
            </w:pPr>
            <w:r>
              <w:rPr>
                <w:rFonts w:hint="eastAsia" w:ascii="宋体" w:hAnsi="宋体" w:cs="宋体"/>
                <w:szCs w:val="21"/>
              </w:rPr>
              <w:t>ES</w:t>
            </w:r>
          </w:p>
          <w:p>
            <w:pPr>
              <w:spacing w:line="280" w:lineRule="exact"/>
              <w:rPr>
                <w:rFonts w:ascii="宋体" w:hAnsi="宋体" w:cs="宋体"/>
                <w:szCs w:val="21"/>
              </w:rPr>
            </w:pPr>
            <w:r>
              <w:rPr>
                <w:rFonts w:hint="eastAsia" w:ascii="宋体" w:hAnsi="宋体" w:cs="宋体"/>
                <w:szCs w:val="21"/>
              </w:rPr>
              <w:t>5.1</w:t>
            </w:r>
          </w:p>
          <w:p>
            <w:pPr>
              <w:spacing w:line="280" w:lineRule="exact"/>
              <w:rPr>
                <w:rFonts w:ascii="宋体" w:hAnsi="宋体" w:cs="宋体"/>
                <w:szCs w:val="21"/>
              </w:rPr>
            </w:pPr>
            <w:r>
              <w:rPr>
                <w:rFonts w:hint="eastAsia" w:ascii="宋体" w:hAnsi="宋体" w:cs="宋体"/>
                <w:szCs w:val="21"/>
              </w:rPr>
              <w:t>5.1.1</w:t>
            </w:r>
          </w:p>
          <w:p>
            <w:pPr>
              <w:spacing w:line="280" w:lineRule="exact"/>
            </w:pPr>
          </w:p>
        </w:tc>
        <w:tc>
          <w:tcPr>
            <w:tcW w:w="10642" w:type="dxa"/>
            <w:vAlign w:val="center"/>
          </w:tcPr>
          <w:p>
            <w:pPr>
              <w:spacing w:line="280" w:lineRule="exact"/>
              <w:ind w:firstLine="420" w:firstLineChars="200"/>
              <w:rPr>
                <w:rFonts w:hint="eastAsia" w:ascii="宋体" w:hAnsi="宋体" w:cs="宋体"/>
                <w:szCs w:val="21"/>
              </w:rPr>
            </w:pPr>
            <w:r>
              <w:rPr>
                <w:rFonts w:hint="eastAsia" w:ascii="宋体" w:hAnsi="宋体" w:cs="宋体"/>
                <w:szCs w:val="21"/>
              </w:rPr>
              <w:t>通过管理评审、内部审核及有效实施纠正、改进措施等方法来有效完善和持续发展公司的管理体系。公司管理者代表是钱科先生，主要承诺有：</w:t>
            </w:r>
          </w:p>
          <w:p>
            <w:pPr>
              <w:spacing w:line="280" w:lineRule="exact"/>
              <w:ind w:firstLine="420" w:firstLineChars="200"/>
              <w:rPr>
                <w:rFonts w:hint="eastAsia" w:ascii="宋体" w:hAnsi="宋体" w:cs="宋体"/>
                <w:szCs w:val="21"/>
              </w:rPr>
            </w:pPr>
            <w:r>
              <w:rPr>
                <w:rFonts w:hint="eastAsia" w:ascii="宋体" w:hAnsi="宋体" w:cs="宋体"/>
                <w:szCs w:val="21"/>
              </w:rPr>
              <w:t>1)对管理体系的有效性要承担责任；</w:t>
            </w:r>
          </w:p>
          <w:p>
            <w:pPr>
              <w:spacing w:line="280" w:lineRule="exact"/>
              <w:ind w:firstLine="420" w:firstLineChars="200"/>
              <w:rPr>
                <w:rFonts w:hint="eastAsia" w:ascii="宋体" w:hAnsi="宋体" w:cs="宋体"/>
                <w:szCs w:val="21"/>
              </w:rPr>
            </w:pPr>
            <w:r>
              <w:rPr>
                <w:rFonts w:hint="eastAsia" w:ascii="宋体" w:hAnsi="宋体" w:cs="宋体"/>
                <w:szCs w:val="21"/>
              </w:rPr>
              <w:t xml:space="preserve">2)建立公司的管理方针和目标并确保与公司的环境相适应，与公司战略方向保持一致以及方针在公司内得到沟通理解和有效实施； </w:t>
            </w:r>
          </w:p>
          <w:p>
            <w:pPr>
              <w:spacing w:line="280" w:lineRule="exact"/>
              <w:ind w:firstLine="420" w:firstLineChars="200"/>
              <w:rPr>
                <w:rFonts w:hint="eastAsia" w:ascii="宋体" w:hAnsi="宋体" w:cs="宋体"/>
                <w:szCs w:val="21"/>
              </w:rPr>
            </w:pPr>
            <w:r>
              <w:rPr>
                <w:rFonts w:hint="eastAsia" w:ascii="宋体" w:hAnsi="宋体" w:cs="宋体"/>
                <w:szCs w:val="21"/>
              </w:rPr>
              <w:t>3）确保管理体系要求融入公司的销售各过程。</w:t>
            </w:r>
          </w:p>
          <w:p>
            <w:pPr>
              <w:spacing w:line="280" w:lineRule="exact"/>
              <w:ind w:firstLine="420" w:firstLineChars="200"/>
              <w:rPr>
                <w:rFonts w:hint="eastAsia" w:ascii="宋体" w:hAnsi="宋体" w:cs="宋体"/>
                <w:szCs w:val="21"/>
              </w:rPr>
            </w:pPr>
            <w:r>
              <w:rPr>
                <w:rFonts w:hint="eastAsia" w:ascii="宋体" w:hAnsi="宋体" w:cs="宋体"/>
                <w:szCs w:val="21"/>
              </w:rPr>
              <w:t>4）促进使用过程方法和机遇风险的思维。</w:t>
            </w:r>
          </w:p>
          <w:p>
            <w:pPr>
              <w:spacing w:line="280" w:lineRule="exact"/>
              <w:ind w:firstLine="420" w:firstLineChars="200"/>
              <w:rPr>
                <w:rFonts w:hint="eastAsia" w:ascii="宋体" w:hAnsi="宋体" w:cs="宋体"/>
                <w:szCs w:val="21"/>
              </w:rPr>
            </w:pPr>
            <w:r>
              <w:rPr>
                <w:rFonts w:hint="eastAsia" w:ascii="宋体" w:hAnsi="宋体" w:cs="宋体"/>
                <w:szCs w:val="21"/>
              </w:rPr>
              <w:t>5)建立合理的公司组织结构,确保管理体系所需资源能被获得；</w:t>
            </w:r>
          </w:p>
          <w:p>
            <w:pPr>
              <w:spacing w:line="280" w:lineRule="exact"/>
              <w:ind w:firstLine="420" w:firstLineChars="200"/>
              <w:rPr>
                <w:rFonts w:hint="eastAsia" w:ascii="宋体" w:hAnsi="宋体" w:cs="宋体"/>
                <w:szCs w:val="21"/>
              </w:rPr>
            </w:pPr>
            <w:r>
              <w:rPr>
                <w:rFonts w:hint="eastAsia" w:ascii="宋体" w:hAnsi="宋体" w:cs="宋体"/>
                <w:szCs w:val="21"/>
              </w:rPr>
              <w:t>6)建立良好的沟通机制，杜绝因沟通影响管理体系运行有效性；</w:t>
            </w:r>
          </w:p>
          <w:p>
            <w:pPr>
              <w:spacing w:line="280" w:lineRule="exact"/>
              <w:ind w:firstLine="420" w:firstLineChars="200"/>
              <w:rPr>
                <w:rFonts w:hint="eastAsia" w:ascii="宋体" w:hAnsi="宋体" w:cs="宋体"/>
                <w:szCs w:val="21"/>
              </w:rPr>
            </w:pPr>
            <w:r>
              <w:rPr>
                <w:rFonts w:hint="eastAsia" w:ascii="宋体" w:hAnsi="宋体" w:cs="宋体"/>
                <w:szCs w:val="21"/>
              </w:rPr>
              <w:t>7）确保管理体系实现其预期的结果。</w:t>
            </w:r>
          </w:p>
          <w:p>
            <w:pPr>
              <w:spacing w:line="280" w:lineRule="exact"/>
              <w:ind w:firstLine="420" w:firstLineChars="200"/>
              <w:rPr>
                <w:rFonts w:hint="eastAsia" w:ascii="宋体" w:hAnsi="宋体" w:cs="宋体"/>
                <w:szCs w:val="21"/>
              </w:rPr>
            </w:pPr>
            <w:r>
              <w:rPr>
                <w:rFonts w:hint="eastAsia" w:ascii="宋体" w:hAnsi="宋体" w:cs="宋体"/>
                <w:szCs w:val="21"/>
              </w:rPr>
              <w:t>8)促使员工积极参与，指导和支持他们为公司管理体系的有效性作出贡献。</w:t>
            </w:r>
          </w:p>
          <w:p>
            <w:pPr>
              <w:spacing w:line="280" w:lineRule="exact"/>
              <w:ind w:firstLine="420" w:firstLineChars="200"/>
              <w:rPr>
                <w:rFonts w:hint="eastAsia" w:ascii="宋体" w:hAnsi="宋体" w:cs="宋体"/>
                <w:szCs w:val="21"/>
              </w:rPr>
            </w:pPr>
            <w:r>
              <w:rPr>
                <w:rFonts w:hint="eastAsia" w:ascii="宋体" w:hAnsi="宋体" w:cs="宋体"/>
                <w:szCs w:val="21"/>
              </w:rPr>
              <w:t>9）推动公司改进和创新；</w:t>
            </w:r>
          </w:p>
          <w:p>
            <w:pPr>
              <w:spacing w:line="280" w:lineRule="exact"/>
              <w:ind w:firstLine="420" w:firstLineChars="200"/>
              <w:rPr>
                <w:rFonts w:hint="eastAsia" w:ascii="宋体" w:hAnsi="宋体" w:cs="宋体"/>
                <w:szCs w:val="21"/>
              </w:rPr>
            </w:pPr>
            <w:r>
              <w:rPr>
                <w:rFonts w:hint="eastAsia" w:ascii="宋体" w:hAnsi="宋体" w:cs="宋体"/>
                <w:szCs w:val="21"/>
              </w:rPr>
              <w:t>10)做好管理岗位的任命，公司内部公开发布任命书，以支持其他管理者在其负责领域证实其领导作用；</w:t>
            </w:r>
          </w:p>
          <w:p>
            <w:pPr>
              <w:spacing w:line="280" w:lineRule="exact"/>
              <w:ind w:firstLine="420" w:firstLineChars="200"/>
              <w:rPr>
                <w:rFonts w:hint="eastAsia" w:ascii="宋体" w:hAnsi="宋体" w:cs="宋体"/>
                <w:szCs w:val="21"/>
              </w:rPr>
            </w:pPr>
            <w:r>
              <w:rPr>
                <w:rFonts w:hint="eastAsia" w:ascii="宋体" w:hAnsi="宋体" w:cs="宋体"/>
                <w:szCs w:val="21"/>
              </w:rPr>
              <w:t>询问管代职责，钱科先生能够清楚回答。</w:t>
            </w:r>
          </w:p>
          <w:p>
            <w:pPr>
              <w:spacing w:line="280" w:lineRule="exact"/>
              <w:ind w:firstLine="420" w:firstLineChars="200"/>
              <w:rPr>
                <w:rFonts w:hint="eastAsia" w:ascii="宋体" w:hAnsi="宋体" w:cs="宋体"/>
                <w:szCs w:val="21"/>
              </w:rPr>
            </w:pPr>
            <w:r>
              <w:rPr>
                <w:rFonts w:hint="eastAsia" w:ascii="宋体" w:hAnsi="宋体" w:cs="宋体"/>
                <w:szCs w:val="21"/>
              </w:rPr>
              <w:t>公司对全体员工进行了产品质量以及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pPr>
              <w:spacing w:line="280" w:lineRule="exact"/>
              <w:ind w:firstLine="420" w:firstLineChars="200"/>
            </w:pPr>
            <w:r>
              <w:rPr>
                <w:rFonts w:hint="eastAsia" w:ascii="宋体" w:hAnsi="宋体" w:cs="宋体"/>
                <w:szCs w:val="21"/>
              </w:rPr>
              <w:t>承诺基本实现，没有违反的情况发生。</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方针</w:t>
            </w:r>
          </w:p>
          <w:p>
            <w:pPr>
              <w:spacing w:line="280" w:lineRule="exact"/>
              <w:rPr>
                <w:rFonts w:ascii="宋体" w:hAnsi="宋体" w:cs="宋体"/>
                <w:szCs w:val="21"/>
              </w:rPr>
            </w:pPr>
            <w:r>
              <w:rPr>
                <w:rFonts w:hint="eastAsia" w:ascii="宋体" w:hAnsi="宋体" w:cs="宋体"/>
                <w:szCs w:val="21"/>
              </w:rPr>
              <w:t>制定方针</w:t>
            </w:r>
          </w:p>
          <w:p>
            <w:pPr>
              <w:spacing w:line="280" w:lineRule="exact"/>
            </w:pPr>
            <w:r>
              <w:rPr>
                <w:rFonts w:hint="eastAsia" w:ascii="宋体" w:hAnsi="宋体" w:cs="宋体"/>
                <w:szCs w:val="21"/>
              </w:rPr>
              <w:t>沟通方针</w:t>
            </w:r>
          </w:p>
        </w:tc>
        <w:tc>
          <w:tcPr>
            <w:tcW w:w="1012" w:type="dxa"/>
          </w:tcPr>
          <w:p>
            <w:pPr>
              <w:spacing w:line="280" w:lineRule="exact"/>
              <w:rPr>
                <w:rFonts w:ascii="宋体" w:hAnsi="宋体" w:cs="宋体"/>
                <w:szCs w:val="21"/>
              </w:rPr>
            </w:pPr>
            <w:r>
              <w:rPr>
                <w:rFonts w:hint="eastAsia" w:ascii="宋体" w:hAnsi="宋体" w:cs="宋体"/>
                <w:szCs w:val="21"/>
              </w:rPr>
              <w:t>ES5.2</w:t>
            </w:r>
          </w:p>
          <w:p>
            <w:pPr>
              <w:snapToGrid w:val="0"/>
              <w:spacing w:line="280" w:lineRule="exact"/>
              <w:rPr>
                <w:szCs w:val="21"/>
              </w:rPr>
            </w:pPr>
          </w:p>
          <w:p>
            <w:pPr>
              <w:spacing w:line="280" w:lineRule="exact"/>
              <w:rPr>
                <w:rFonts w:ascii="宋体" w:hAnsi="宋体" w:cs="宋体"/>
                <w:szCs w:val="21"/>
              </w:rPr>
            </w:pPr>
          </w:p>
          <w:p>
            <w:pPr>
              <w:spacing w:line="280" w:lineRule="exact"/>
            </w:pPr>
          </w:p>
        </w:tc>
        <w:tc>
          <w:tcPr>
            <w:tcW w:w="10642" w:type="dxa"/>
            <w:vAlign w:val="center"/>
          </w:tcPr>
          <w:p>
            <w:pPr>
              <w:spacing w:line="360" w:lineRule="exact"/>
              <w:ind w:right="210"/>
              <w:rPr>
                <w:rFonts w:hint="eastAsia" w:ascii="宋体" w:hAnsi="宋体" w:cs="宋体"/>
                <w:szCs w:val="21"/>
              </w:rPr>
            </w:pPr>
            <w:r>
              <w:rPr>
                <w:rFonts w:hint="eastAsia" w:ascii="宋体" w:hAnsi="宋体" w:cs="宋体"/>
                <w:szCs w:val="21"/>
              </w:rPr>
              <w:t>公司管理方针为：</w:t>
            </w:r>
          </w:p>
          <w:p>
            <w:pPr>
              <w:spacing w:line="360" w:lineRule="exact"/>
              <w:ind w:right="210"/>
              <w:rPr>
                <w:rFonts w:hint="eastAsia" w:ascii="宋体" w:hAnsi="宋体" w:cs="宋体"/>
                <w:szCs w:val="21"/>
              </w:rPr>
            </w:pPr>
            <w:r>
              <w:rPr>
                <w:rFonts w:hint="eastAsia" w:ascii="宋体" w:hAnsi="宋体" w:cs="宋体"/>
                <w:szCs w:val="21"/>
              </w:rPr>
              <w:t>以顾客为根，优质诚信，展示专业品牌</w:t>
            </w:r>
          </w:p>
          <w:p>
            <w:pPr>
              <w:spacing w:line="360" w:lineRule="exact"/>
              <w:ind w:right="210"/>
              <w:rPr>
                <w:rFonts w:hint="eastAsia" w:ascii="宋体" w:hAnsi="宋体" w:cs="宋体"/>
                <w:szCs w:val="21"/>
              </w:rPr>
            </w:pPr>
            <w:r>
              <w:rPr>
                <w:rFonts w:hint="eastAsia" w:ascii="宋体" w:hAnsi="宋体" w:cs="宋体"/>
                <w:szCs w:val="21"/>
              </w:rPr>
              <w:t>以环境为友，环保节能，坚持持续改进</w:t>
            </w:r>
          </w:p>
          <w:p>
            <w:pPr>
              <w:spacing w:line="360" w:lineRule="exact"/>
              <w:ind w:right="210"/>
              <w:rPr>
                <w:rFonts w:hint="eastAsia" w:ascii="宋体" w:hAnsi="宋体" w:cs="宋体"/>
                <w:szCs w:val="21"/>
              </w:rPr>
            </w:pPr>
            <w:r>
              <w:rPr>
                <w:rFonts w:hint="eastAsia" w:ascii="宋体" w:hAnsi="宋体" w:cs="宋体"/>
                <w:szCs w:val="21"/>
              </w:rPr>
              <w:t>以员工为本，健康和谐，共享快乐工作</w:t>
            </w:r>
          </w:p>
          <w:p>
            <w:pPr>
              <w:spacing w:line="360" w:lineRule="exact"/>
              <w:ind w:right="210"/>
              <w:rPr>
                <w:rFonts w:hint="eastAsia" w:ascii="宋体" w:hAnsi="宋体" w:cs="宋体"/>
                <w:szCs w:val="21"/>
              </w:rPr>
            </w:pPr>
            <w:r>
              <w:rPr>
                <w:rFonts w:hint="eastAsia" w:ascii="宋体" w:hAnsi="宋体" w:cs="宋体"/>
                <w:szCs w:val="21"/>
              </w:rPr>
              <w:t>公司以环境、职业健康安全标准为基础，结合公司实际特制定管理方针。与姜子炎先生进行交谈，姜先生对方针内涵的理解较深刻。方针能为制定目标提供框架，方针基本符合标准的要求。</w:t>
            </w:r>
          </w:p>
          <w:p>
            <w:pPr>
              <w:spacing w:line="360" w:lineRule="exact"/>
              <w:ind w:right="210"/>
              <w:rPr>
                <w:rFonts w:hint="eastAsia" w:ascii="宋体" w:hAnsi="宋体" w:cs="宋体"/>
                <w:szCs w:val="21"/>
              </w:rPr>
            </w:pPr>
            <w:r>
              <w:rPr>
                <w:rFonts w:hint="eastAsia" w:ascii="宋体" w:hAnsi="宋体" w:cs="宋体"/>
                <w:szCs w:val="21"/>
              </w:rPr>
              <w:t>总经理用会议、文件等手段保证管理方针为全体员工理解并落实到工作中。管理评审时对方针的持续适宜性进行了评审，有评审记录。</w:t>
            </w:r>
          </w:p>
          <w:p>
            <w:pPr>
              <w:spacing w:line="360" w:lineRule="exact"/>
              <w:ind w:right="210"/>
              <w:rPr>
                <w:rFonts w:hint="eastAsia" w:ascii="宋体" w:hAnsi="宋体" w:cs="宋体"/>
                <w:szCs w:val="21"/>
              </w:rPr>
            </w:pPr>
            <w:r>
              <w:rPr>
                <w:rFonts w:hint="eastAsia" w:ascii="宋体" w:hAnsi="宋体" w:cs="宋体"/>
                <w:szCs w:val="21"/>
              </w:rPr>
              <w:t>以上管理方针通过文件、培训等形式将公司管理方针传达给所有为公司工作或代表公司的人员，相关方也可通过综合部获取公司管理方针。</w:t>
            </w:r>
          </w:p>
          <w:p>
            <w:pPr>
              <w:spacing w:line="360" w:lineRule="exact"/>
              <w:ind w:right="210"/>
              <w:rPr>
                <w:rFonts w:hint="eastAsia" w:ascii="宋体" w:hAnsi="宋体" w:cs="宋体"/>
                <w:szCs w:val="21"/>
              </w:rPr>
            </w:pPr>
            <w:r>
              <w:rPr>
                <w:rFonts w:hint="eastAsia" w:ascii="宋体" w:hAnsi="宋体" w:cs="宋体"/>
                <w:szCs w:val="21"/>
              </w:rPr>
              <w:t>公司确定了公司机构并规定了各岗位人员职责、权限和相互关系，并在公司内对各级员工进行了必要的传达。对从事与销售有关的管理、执行和验证人员规定其职责、权限及其相互关系，以实现公司管理方针和管理目标。建立、实施和保持公司管理体系所需的过程，公司决定任命付世浩先生为管理体系的管理者代表。其职责和权限规定如下：</w:t>
            </w:r>
          </w:p>
          <w:p>
            <w:pPr>
              <w:spacing w:line="360" w:lineRule="exact"/>
              <w:ind w:right="210"/>
              <w:rPr>
                <w:rFonts w:hint="eastAsia" w:ascii="宋体" w:hAnsi="宋体" w:cs="宋体"/>
                <w:szCs w:val="21"/>
              </w:rPr>
            </w:pPr>
            <w:r>
              <w:rPr>
                <w:rFonts w:hint="eastAsia" w:ascii="宋体" w:hAnsi="宋体" w:cs="宋体"/>
                <w:szCs w:val="21"/>
              </w:rPr>
              <w:t>确保本公司管理体系所需的过程得到建立、实施和保持，代表张志刚先生行使职权；</w:t>
            </w:r>
          </w:p>
          <w:p>
            <w:pPr>
              <w:spacing w:line="360" w:lineRule="exact"/>
              <w:ind w:right="210"/>
              <w:rPr>
                <w:rFonts w:hint="eastAsia" w:ascii="宋体" w:hAnsi="宋体" w:cs="宋体"/>
                <w:szCs w:val="21"/>
              </w:rPr>
            </w:pPr>
            <w:r>
              <w:rPr>
                <w:rFonts w:hint="eastAsia" w:ascii="宋体" w:hAnsi="宋体" w:cs="宋体"/>
                <w:szCs w:val="21"/>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pPr>
              <w:spacing w:line="280" w:lineRule="exact"/>
              <w:ind w:firstLine="420" w:firstLineChars="200"/>
            </w:pPr>
            <w:r>
              <w:rPr>
                <w:rFonts w:hint="eastAsia" w:ascii="宋体" w:hAnsi="宋体" w:cs="宋体"/>
                <w:szCs w:val="21"/>
              </w:rPr>
              <w:t>询问管代钱科，职责回答正确。</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tc>
        <w:tc>
          <w:tcPr>
            <w:tcW w:w="1012" w:type="dxa"/>
          </w:tcPr>
          <w:p>
            <w:pPr>
              <w:spacing w:line="280" w:lineRule="exact"/>
              <w:rPr>
                <w:rFonts w:ascii="宋体" w:cs="宋体"/>
                <w:szCs w:val="21"/>
              </w:rPr>
            </w:pPr>
            <w:r>
              <w:rPr>
                <w:rFonts w:ascii="宋体" w:cs="宋体"/>
                <w:szCs w:val="21"/>
              </w:rPr>
              <w:t>E</w:t>
            </w:r>
            <w:r>
              <w:rPr>
                <w:rFonts w:hint="eastAsia" w:ascii="宋体" w:cs="宋体"/>
                <w:szCs w:val="21"/>
              </w:rPr>
              <w:t>S</w:t>
            </w:r>
            <w:r>
              <w:rPr>
                <w:rFonts w:ascii="宋体" w:cs="宋体"/>
                <w:szCs w:val="21"/>
              </w:rPr>
              <w:t>5.3</w:t>
            </w:r>
          </w:p>
          <w:p>
            <w:pPr>
              <w:spacing w:line="280" w:lineRule="exact"/>
            </w:pPr>
          </w:p>
        </w:tc>
        <w:tc>
          <w:tcPr>
            <w:tcW w:w="10642" w:type="dxa"/>
            <w:vAlign w:val="center"/>
          </w:tcPr>
          <w:p>
            <w:pPr>
              <w:spacing w:line="280" w:lineRule="exact"/>
              <w:ind w:firstLine="420" w:firstLineChars="200"/>
            </w:pPr>
            <w:r>
              <w:rPr>
                <w:rFonts w:hint="eastAsia"/>
              </w:rPr>
              <w:t>确定了部门、各岗位人员职责、权限和</w:t>
            </w:r>
            <w:r>
              <w:rPr>
                <w:rFonts w:hint="eastAsia"/>
                <w:szCs w:val="22"/>
              </w:rPr>
              <w:t>相互关系，并在公司内对各级员工进行了必要的传达。对从事与服务有关的管理、执行和验证人员规定其职责、权限及其相互关系，以实现公司管理方针和管理目标。建立、实施和保持公司管理体系所需的过程，公司决定任命吴伟为管</w:t>
            </w:r>
            <w:r>
              <w:rPr>
                <w:rFonts w:hint="eastAsia"/>
              </w:rPr>
              <w:t>理体系的管理者代表。其职责和权限规定如下：</w:t>
            </w:r>
          </w:p>
          <w:p>
            <w:pPr>
              <w:spacing w:line="280" w:lineRule="exact"/>
              <w:ind w:firstLine="420" w:firstLineChars="200"/>
            </w:pPr>
            <w:r>
              <w:rPr>
                <w:rFonts w:hint="eastAsia"/>
              </w:rPr>
              <w:t>确保本公司管理体系所需的过程得到建立、实施和保持，代表总经理行使职权；</w:t>
            </w:r>
          </w:p>
          <w:p>
            <w:pPr>
              <w:spacing w:line="280" w:lineRule="exact"/>
              <w:ind w:firstLine="420" w:firstLineChars="200"/>
              <w:rPr>
                <w:szCs w:val="22"/>
              </w:rPr>
            </w:pPr>
            <w:r>
              <w:rPr>
                <w:rFonts w:hint="eastAsia"/>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w:t>
            </w:r>
            <w:r>
              <w:rPr>
                <w:rFonts w:hint="eastAsia"/>
                <w:bCs/>
                <w:szCs w:val="22"/>
              </w:rPr>
              <w:t>理</w:t>
            </w:r>
            <w:r>
              <w:rPr>
                <w:rFonts w:hint="eastAsia"/>
                <w:szCs w:val="22"/>
              </w:rPr>
              <w:t>体系正常运行的有关问题；负责公司管理体系有关事宜的对外联络等。</w:t>
            </w:r>
          </w:p>
          <w:p>
            <w:pPr>
              <w:snapToGrid w:val="0"/>
              <w:spacing w:line="320" w:lineRule="exact"/>
              <w:ind w:firstLine="420" w:firstLineChars="200"/>
              <w:jc w:val="left"/>
              <w:rPr>
                <w:rFonts w:asciiTheme="minorEastAsia" w:hAnsiTheme="minorEastAsia" w:eastAsiaTheme="minorEastAsia" w:cstheme="minorEastAsia"/>
                <w:szCs w:val="21"/>
              </w:rPr>
            </w:pPr>
          </w:p>
          <w:p>
            <w:pPr>
              <w:snapToGrid w:val="0"/>
              <w:spacing w:line="32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安全事务代表仍然为由王翌婷。相关人员均对本部门的管理职责了解，在其手册上面有书面的职责权限已公布。</w:t>
            </w:r>
          </w:p>
          <w:p>
            <w:pPr>
              <w:tabs>
                <w:tab w:val="left" w:pos="426"/>
              </w:tabs>
              <w:spacing w:line="440" w:lineRule="exact"/>
              <w:ind w:left="1004"/>
              <w:rPr>
                <w:rFonts w:hint="eastAsia"/>
                <w:szCs w:val="21"/>
              </w:rPr>
            </w:pPr>
            <w:r>
              <w:rPr>
                <w:rFonts w:hint="eastAsia"/>
                <w:szCs w:val="21"/>
              </w:rPr>
              <w:t>a.参与组织识别及监控不可接受风险；</w:t>
            </w:r>
          </w:p>
          <w:p>
            <w:pPr>
              <w:tabs>
                <w:tab w:val="left" w:pos="426"/>
              </w:tabs>
              <w:spacing w:line="440" w:lineRule="exact"/>
              <w:ind w:left="1004"/>
              <w:rPr>
                <w:rFonts w:hint="eastAsia"/>
                <w:szCs w:val="21"/>
              </w:rPr>
            </w:pPr>
            <w:r>
              <w:rPr>
                <w:rFonts w:hint="eastAsia"/>
                <w:szCs w:val="21"/>
              </w:rPr>
              <w:t>b.参与一体化管理方针和程序的制定和评审；</w:t>
            </w:r>
          </w:p>
          <w:p>
            <w:pPr>
              <w:tabs>
                <w:tab w:val="left" w:pos="426"/>
              </w:tabs>
              <w:spacing w:line="440" w:lineRule="exact"/>
              <w:ind w:left="1004"/>
              <w:rPr>
                <w:rFonts w:hint="eastAsia"/>
                <w:szCs w:val="21"/>
              </w:rPr>
            </w:pPr>
            <w:r>
              <w:rPr>
                <w:rFonts w:hint="eastAsia"/>
                <w:szCs w:val="21"/>
              </w:rPr>
              <w:t>c.参与商讨影响工作场所职业健康安全的任何变化；</w:t>
            </w:r>
          </w:p>
          <w:p>
            <w:pPr>
              <w:spacing w:line="280" w:lineRule="exact"/>
              <w:ind w:left="1004"/>
              <w:rPr>
                <w:rFonts w:hint="eastAsia"/>
              </w:rPr>
            </w:pPr>
            <w:r>
              <w:rPr>
                <w:rFonts w:hint="eastAsia"/>
                <w:szCs w:val="21"/>
              </w:rPr>
              <w:t>d.参与职业健康安全的事务的管理。</w:t>
            </w:r>
          </w:p>
          <w:p>
            <w:pPr>
              <w:spacing w:line="280" w:lineRule="exact"/>
              <w:ind w:left="1004"/>
            </w:pPr>
            <w:r>
              <w:rPr>
                <w:rFonts w:hint="eastAsia"/>
                <w:bCs/>
                <w:szCs w:val="22"/>
              </w:rPr>
              <w:t>询问管代钱科</w:t>
            </w:r>
            <w:r>
              <w:tab/>
            </w:r>
            <w:r>
              <w:rPr>
                <w:rFonts w:hint="eastAsia"/>
                <w:b/>
                <w:bCs/>
                <w:szCs w:val="22"/>
              </w:rPr>
              <w:t>、</w:t>
            </w:r>
            <w:r>
              <w:rPr>
                <w:rFonts w:hint="eastAsia"/>
              </w:rPr>
              <w:t>安全事务代表王翌婷职责回答正确。</w:t>
            </w:r>
          </w:p>
          <w:p>
            <w:pPr>
              <w:pStyle w:val="2"/>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应对风险和机遇的措施</w:t>
            </w:r>
          </w:p>
          <w:p>
            <w:pPr>
              <w:spacing w:line="280" w:lineRule="exact"/>
              <w:rPr>
                <w:rFonts w:ascii="宋体" w:hAnsi="宋体" w:cs="宋体"/>
                <w:szCs w:val="21"/>
              </w:rPr>
            </w:pPr>
          </w:p>
        </w:tc>
        <w:tc>
          <w:tcPr>
            <w:tcW w:w="1012" w:type="dxa"/>
          </w:tcPr>
          <w:p>
            <w:pPr>
              <w:spacing w:line="280" w:lineRule="exact"/>
              <w:rPr>
                <w:rFonts w:ascii="宋体" w:hAnsi="宋体" w:cs="宋体"/>
                <w:szCs w:val="21"/>
              </w:rPr>
            </w:pPr>
          </w:p>
          <w:p>
            <w:pPr>
              <w:spacing w:line="280" w:lineRule="exact"/>
              <w:rPr>
                <w:rFonts w:ascii="宋体"/>
                <w:szCs w:val="21"/>
              </w:rPr>
            </w:pPr>
            <w:r>
              <w:rPr>
                <w:rFonts w:ascii="宋体" w:cs="宋体"/>
                <w:szCs w:val="21"/>
              </w:rPr>
              <w:t>E</w:t>
            </w:r>
            <w:r>
              <w:rPr>
                <w:rFonts w:hint="eastAsia" w:ascii="宋体" w:cs="宋体"/>
                <w:szCs w:val="21"/>
              </w:rPr>
              <w:t>S</w:t>
            </w:r>
            <w:r>
              <w:rPr>
                <w:rFonts w:ascii="宋体" w:cs="宋体"/>
                <w:szCs w:val="21"/>
              </w:rPr>
              <w:t>6.1.1</w:t>
            </w:r>
          </w:p>
          <w:p>
            <w:pPr>
              <w:spacing w:line="280" w:lineRule="exact"/>
              <w:rPr>
                <w:rFonts w:ascii="宋体" w:hAnsi="宋体" w:cs="宋体"/>
                <w:szCs w:val="21"/>
              </w:rPr>
            </w:pPr>
          </w:p>
          <w:p>
            <w:pPr>
              <w:spacing w:line="280" w:lineRule="exact"/>
            </w:pPr>
          </w:p>
        </w:tc>
        <w:tc>
          <w:tcPr>
            <w:tcW w:w="10642" w:type="dxa"/>
            <w:vAlign w:val="center"/>
          </w:tcPr>
          <w:p>
            <w:pPr>
              <w:spacing w:line="280" w:lineRule="exact"/>
              <w:rPr>
                <w:rFonts w:ascii="宋体" w:hAnsi="宋体" w:cs="宋体"/>
                <w:szCs w:val="21"/>
              </w:rPr>
            </w:pPr>
            <w:r>
              <w:rPr>
                <w:rFonts w:hint="eastAsia" w:ascii="宋体" w:hAnsi="宋体" w:cs="宋体"/>
                <w:szCs w:val="21"/>
              </w:rPr>
              <w:t>1.外部因素主要有：a)社会和文化、政治、法律、监管、金融、技术、经济、自然环境和竞争环境；b)影响公司管理目标的主要驱动和趋势；c)与外部利益相关者的价值观的关系。如国家政策、标准、法律法规及其他要求的变动等；</w:t>
            </w:r>
          </w:p>
          <w:p>
            <w:pPr>
              <w:spacing w:line="280" w:lineRule="exact"/>
              <w:ind w:firstLine="420" w:firstLineChars="200"/>
              <w:rPr>
                <w:rFonts w:ascii="宋体" w:hAnsi="宋体" w:cs="宋体"/>
                <w:szCs w:val="21"/>
              </w:rPr>
            </w:pPr>
            <w:r>
              <w:rPr>
                <w:rFonts w:hint="eastAsia" w:ascii="宋体" w:hAnsi="宋体" w:cs="宋体"/>
                <w:szCs w:val="21"/>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pPr>
              <w:spacing w:line="280" w:lineRule="exact"/>
              <w:ind w:firstLine="420" w:firstLineChars="200"/>
              <w:rPr>
                <w:rFonts w:ascii="宋体" w:hAnsi="宋体" w:cs="宋体"/>
                <w:szCs w:val="21"/>
              </w:rPr>
            </w:pPr>
            <w:r>
              <w:rPr>
                <w:rFonts w:hint="eastAsia" w:ascii="宋体" w:hAnsi="宋体" w:cs="宋体"/>
                <w:szCs w:val="21"/>
              </w:rPr>
              <w:t>3.在策划管理体系时考虑了风险和机遇以及相应的应对措施，制定了《风险和机遇的应对控制程序》，明确风险和机遇事件的识别方法/途径、风险和机遇事件的评估方式、制定主要风险和机遇事件的应对措施的要求、评价这些措施有效性的方法。将需要应对的风险和机遇进行风险分析确定风险级别（一般风险、高风险），在管理体系所确定的过程（客户开发、供应商的要求等）中，整合制定针对性管理措施（如程序控制等）。提供了“经营环境分析及对策”，已认真交流风险如战略失误、环保及人力资源成本上升、竞争不断加剧等，主要措施确定战略应更加科学严谨；通过提高管理水平消化人力资源成本上升；加强采购、生产、研发控制；执行国家环保要求；通过差异化策略提高竞争力。效果待观察。机遇主要是现在社会需求不断增多。</w:t>
            </w:r>
          </w:p>
          <w:p>
            <w:pPr>
              <w:pStyle w:val="2"/>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2160" w:type="dxa"/>
          </w:tcPr>
          <w:p>
            <w:pPr>
              <w:spacing w:line="280" w:lineRule="exact"/>
              <w:rPr>
                <w:szCs w:val="21"/>
              </w:rPr>
            </w:pPr>
            <w:r>
              <w:rPr>
                <w:rFonts w:hint="eastAsia" w:cs="宋体"/>
                <w:szCs w:val="21"/>
              </w:rPr>
              <w:t>措施的策划</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ES6.1.4</w:t>
            </w:r>
          </w:p>
          <w:p>
            <w:pPr>
              <w:spacing w:line="280" w:lineRule="exact"/>
            </w:pPr>
          </w:p>
        </w:tc>
        <w:tc>
          <w:tcPr>
            <w:tcW w:w="10642" w:type="dxa"/>
            <w:vAlign w:val="center"/>
          </w:tcPr>
          <w:p>
            <w:pPr>
              <w:spacing w:line="280" w:lineRule="exact"/>
            </w:pPr>
            <w:r>
              <w:rPr>
                <w:rFonts w:hint="eastAsia"/>
              </w:rPr>
              <w:t>在策划应对风险和机遇的措施时，综合部综合考虑了企业所处的环境、重要环境因素、合规义务，以及面对的风险和机遇，制定了环境、职业健康安全目标及管理方案，总经理张建负责批准。环境、职业健康安全管理方案中明确为实现环境、职业健康安全目标和指标的责任部门；规定实现环境、职业健康安全目标和指标的时间；具体措施和经费预算；都由总经理批准。环境、职业健康安全管理方案的实施，综合部每半年对方案实施情况进行检查跟踪，向总经理报告；一般在管理评审之前对环境、职业健康安全目标及管理方案由综合部对其进行评审，并将完成情况以书面形式呈报管理者代表，以便提交管理评审。</w:t>
            </w:r>
          </w:p>
          <w:p>
            <w:pPr>
              <w:pStyle w:val="2"/>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1012"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ES6.2</w:t>
            </w:r>
          </w:p>
          <w:p>
            <w:pPr>
              <w:spacing w:line="280" w:lineRule="exact"/>
              <w:rPr>
                <w:rFonts w:asciiTheme="minorEastAsia" w:hAnsiTheme="minorEastAsia" w:eastAsiaTheme="minorEastAsia" w:cstheme="minorEastAsia"/>
                <w:szCs w:val="21"/>
              </w:rPr>
            </w:pPr>
          </w:p>
        </w:tc>
        <w:tc>
          <w:tcPr>
            <w:tcW w:w="10642" w:type="dxa"/>
            <w:vAlign w:val="center"/>
          </w:tcPr>
          <w:p>
            <w:pPr>
              <w:spacing w:line="280" w:lineRule="exact"/>
              <w:ind w:firstLine="420" w:firstLineChars="200"/>
            </w:pPr>
          </w:p>
          <w:p>
            <w:pPr>
              <w:spacing w:line="280" w:lineRule="exact"/>
            </w:pPr>
            <w:r>
              <w:rPr>
                <w:rFonts w:hint="eastAsia"/>
              </w:rPr>
              <w:t>公司对管理体系所需的相关职能、层次和过程设定管理目标。</w:t>
            </w:r>
          </w:p>
          <w:p>
            <w:pPr>
              <w:spacing w:line="280" w:lineRule="exact"/>
              <w:rPr>
                <w:rFonts w:hint="eastAsia"/>
              </w:rPr>
            </w:pPr>
            <w:r>
              <w:rPr>
                <w:rFonts w:hint="eastAsia"/>
              </w:rPr>
              <w:t>公司管理目标是：</w:t>
            </w:r>
          </w:p>
          <w:p>
            <w:pPr>
              <w:pStyle w:val="2"/>
              <w:rPr>
                <w:rFonts w:hint="eastAsia"/>
              </w:rPr>
            </w:pPr>
            <w:r>
              <w:rPr>
                <w:rFonts w:hint="eastAsia"/>
              </w:rPr>
              <w:t>公司对管理体系所需的相关职能、层次和过程设定管理目标。在《管理手册》中规划公司的整体管理目标，并以目标管理方法层层展开落实，各部门依据公司整体目标制订相应的管理目标实施方案并统计实绩，根据每年目标达成状况，通过管理审查会议审查评估绩效并制定下一年度的目标。</w:t>
            </w:r>
          </w:p>
          <w:p>
            <w:pPr>
              <w:pStyle w:val="2"/>
              <w:rPr>
                <w:rFonts w:hint="eastAsia"/>
              </w:rPr>
            </w:pPr>
            <w:r>
              <w:rPr>
                <w:rFonts w:hint="eastAsia"/>
              </w:rPr>
              <w:t>公司对管理体系所需的相关职能、层次和过程设定管理目标。</w:t>
            </w:r>
          </w:p>
          <w:p>
            <w:pPr>
              <w:pStyle w:val="2"/>
              <w:rPr>
                <w:rFonts w:hint="eastAsia"/>
              </w:rPr>
            </w:pPr>
            <w:r>
              <w:rPr>
                <w:rFonts w:hint="eastAsia"/>
              </w:rPr>
              <w:t>管理目标涉及环境、职业健康安全，具体为：</w:t>
            </w:r>
          </w:p>
          <w:p>
            <w:pPr>
              <w:pStyle w:val="2"/>
              <w:rPr>
                <w:rFonts w:hint="eastAsia"/>
              </w:rPr>
            </w:pPr>
            <w:r>
              <w:rPr>
                <w:rFonts w:hint="eastAsia"/>
              </w:rPr>
              <w:t>1)环境目标</w:t>
            </w:r>
          </w:p>
          <w:p>
            <w:pPr>
              <w:pStyle w:val="2"/>
              <w:rPr>
                <w:rFonts w:hint="eastAsia"/>
              </w:rPr>
            </w:pPr>
            <w:r>
              <w:rPr>
                <w:rFonts w:hint="eastAsia"/>
              </w:rPr>
              <w:t>a)节能降耗，用水用电比预算节约1.5%；</w:t>
            </w:r>
          </w:p>
          <w:p>
            <w:pPr>
              <w:pStyle w:val="2"/>
              <w:rPr>
                <w:rFonts w:hint="eastAsia"/>
              </w:rPr>
            </w:pPr>
            <w:r>
              <w:rPr>
                <w:rFonts w:hint="eastAsia"/>
              </w:rPr>
              <w:t>b)固体废弃物实现100%分类管理。</w:t>
            </w:r>
          </w:p>
          <w:p>
            <w:pPr>
              <w:pStyle w:val="2"/>
              <w:rPr>
                <w:rFonts w:hint="eastAsia"/>
              </w:rPr>
            </w:pPr>
            <w:r>
              <w:rPr>
                <w:rFonts w:hint="eastAsia"/>
              </w:rPr>
              <w:t>2)职业健康安全目标</w:t>
            </w:r>
          </w:p>
          <w:p>
            <w:pPr>
              <w:pStyle w:val="2"/>
              <w:rPr>
                <w:rFonts w:hint="eastAsia"/>
              </w:rPr>
            </w:pPr>
            <w:r>
              <w:rPr>
                <w:rFonts w:hint="eastAsia"/>
              </w:rPr>
              <w:t>a)火灾次数为0；</w:t>
            </w:r>
          </w:p>
          <w:p>
            <w:pPr>
              <w:pStyle w:val="2"/>
              <w:rPr>
                <w:rFonts w:hint="eastAsia"/>
              </w:rPr>
            </w:pPr>
            <w:r>
              <w:rPr>
                <w:rFonts w:hint="eastAsia"/>
              </w:rPr>
              <w:t xml:space="preserve">b)触电事故为0。 </w:t>
            </w:r>
          </w:p>
          <w:p>
            <w:pPr>
              <w:pStyle w:val="2"/>
              <w:rPr>
                <w:rFonts w:hint="eastAsia"/>
              </w:rPr>
            </w:pPr>
            <w:r>
              <w:rPr>
                <w:rFonts w:hint="eastAsia"/>
              </w:rPr>
              <w:t xml:space="preserve"> 目标可测量，与公司管理方针一致。</w:t>
            </w:r>
          </w:p>
          <w:p>
            <w:pPr>
              <w:pStyle w:val="2"/>
              <w:rPr>
                <w:rFonts w:hint="eastAsia"/>
              </w:rPr>
            </w:pPr>
            <w:r>
              <w:rPr>
                <w:rFonts w:hint="eastAsia"/>
              </w:rPr>
              <w:t>每季度由综合部按公司管理目标考核要求统计考核公司管理目标完成情况，提交管理评审会议。查到今年第一季度公司管理目标完成情况，各项目标均已完成，编制：综合部   审核：钱科   批准：姜子炎</w:t>
            </w:r>
          </w:p>
          <w:p>
            <w:pPr>
              <w:pStyle w:val="2"/>
            </w:pPr>
            <w:r>
              <w:rPr>
                <w:rFonts w:hint="eastAsia"/>
              </w:rPr>
              <w:t>针对重要环境因素、不可接受风险制订了管理方案并予以实施，基本有效，详见项目部该条款审核记录。</w:t>
            </w:r>
          </w:p>
          <w:p>
            <w:pPr>
              <w:spacing w:line="280" w:lineRule="exact"/>
              <w:rPr>
                <w:szCs w:val="22"/>
              </w:rPr>
            </w:pPr>
            <w:r>
              <w:rPr>
                <w:rFonts w:hint="eastAsia"/>
                <w:szCs w:val="22"/>
              </w:rPr>
              <w:t>1、员工培训按时完成率100%。</w:t>
            </w:r>
          </w:p>
          <w:p>
            <w:pPr>
              <w:spacing w:line="280" w:lineRule="exact"/>
              <w:rPr>
                <w:szCs w:val="22"/>
              </w:rPr>
            </w:pPr>
            <w:r>
              <w:rPr>
                <w:rFonts w:hint="eastAsia"/>
                <w:szCs w:val="22"/>
              </w:rPr>
              <w:t>2、环境污染事故为零。</w:t>
            </w:r>
          </w:p>
          <w:p>
            <w:pPr>
              <w:spacing w:line="280" w:lineRule="exact"/>
              <w:rPr>
                <w:szCs w:val="22"/>
              </w:rPr>
            </w:pPr>
            <w:r>
              <w:rPr>
                <w:rFonts w:hint="eastAsia"/>
                <w:szCs w:val="22"/>
              </w:rPr>
              <w:t>3、火灾事故发生率为零</w:t>
            </w:r>
          </w:p>
          <w:p>
            <w:pPr>
              <w:spacing w:line="280" w:lineRule="exact"/>
            </w:pPr>
            <w:r>
              <w:rPr>
                <w:rFonts w:hint="eastAsia"/>
              </w:rPr>
              <w:t>目标可测量，与公司管理方针一致。</w:t>
            </w:r>
          </w:p>
          <w:p>
            <w:pPr>
              <w:spacing w:line="280" w:lineRule="exact"/>
            </w:pPr>
            <w:r>
              <w:rPr>
                <w:rFonts w:hint="eastAsia"/>
              </w:rPr>
              <w:t xml:space="preserve">每半年由综合部按公司管理目标考核要求统计考核公司管理目标完成情况，提交管理评审会议。查到今年下半年公司管理目标完成情况，各项目标均已完成，考核人吴伟   </w:t>
            </w:r>
          </w:p>
          <w:p>
            <w:pPr>
              <w:spacing w:line="280" w:lineRule="exact"/>
              <w:ind w:firstLine="420" w:firstLineChars="200"/>
            </w:pPr>
            <w:r>
              <w:rPr>
                <w:rFonts w:hint="eastAsia"/>
              </w:rPr>
              <w:t>针对重要环境因素、不可接受风险制订了管理方案并予以实施，基本有效，详见综合部该条款审核记录。</w:t>
            </w:r>
          </w:p>
          <w:p>
            <w:pPr>
              <w:pStyle w:val="2"/>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160" w:type="dxa"/>
          </w:tcPr>
          <w:p>
            <w:pPr>
              <w:spacing w:line="280" w:lineRule="exact"/>
              <w:rPr>
                <w:rFonts w:ascii="宋体" w:hAnsi="宋体" w:cs="宋体"/>
                <w:szCs w:val="21"/>
              </w:rPr>
            </w:pPr>
            <w:r>
              <w:rPr>
                <w:rFonts w:hint="eastAsia" w:ascii="宋体" w:hAnsi="宋体" w:cs="宋体"/>
                <w:szCs w:val="21"/>
              </w:rPr>
              <w:t>资源、总则</w:t>
            </w:r>
          </w:p>
          <w:p>
            <w:pPr>
              <w:spacing w:line="280" w:lineRule="exact"/>
              <w:rPr>
                <w:rFonts w:ascii="宋体" w:hAnsi="宋体" w:cs="宋体"/>
                <w:szCs w:val="21"/>
              </w:rPr>
            </w:pPr>
          </w:p>
        </w:tc>
        <w:tc>
          <w:tcPr>
            <w:tcW w:w="1012" w:type="dxa"/>
          </w:tcPr>
          <w:p>
            <w:pPr>
              <w:spacing w:line="280" w:lineRule="exact"/>
              <w:rPr>
                <w:szCs w:val="21"/>
              </w:rPr>
            </w:pPr>
          </w:p>
          <w:p>
            <w:pPr>
              <w:spacing w:line="280" w:lineRule="exact"/>
              <w:rPr>
                <w:szCs w:val="21"/>
              </w:rPr>
            </w:pPr>
            <w:r>
              <w:rPr>
                <w:rFonts w:hint="eastAsia"/>
                <w:szCs w:val="21"/>
              </w:rPr>
              <w:t>ES7.1</w:t>
            </w:r>
          </w:p>
          <w:p>
            <w:pPr>
              <w:spacing w:line="280" w:lineRule="exact"/>
            </w:pPr>
          </w:p>
        </w:tc>
        <w:tc>
          <w:tcPr>
            <w:tcW w:w="10642" w:type="dxa"/>
            <w:vAlign w:val="center"/>
          </w:tcPr>
          <w:p>
            <w:pPr>
              <w:spacing w:line="280" w:lineRule="exact"/>
              <w:rPr>
                <w:rFonts w:hint="eastAsia"/>
              </w:rPr>
            </w:pPr>
            <w:r>
              <w:rPr>
                <w:rFonts w:hint="eastAsia"/>
              </w:rPr>
              <w:t>查公司配备的人力资源，公司总人数25人.</w:t>
            </w:r>
          </w:p>
          <w:p>
            <w:pPr>
              <w:spacing w:line="280" w:lineRule="exact"/>
            </w:pPr>
            <w:r>
              <w:rPr>
                <w:rFonts w:hint="eastAsia"/>
              </w:rPr>
              <w:t>基础设施：台式机笔记本电脑、打印机等设施等，规范文件、资金等必要的资源，能够持续满足顾客需求和管理体系改进的需要。公司对员工涉及的职业健康安全提供必要的资源，如体系标准及法律法规的培训，疫情期间提供口罩等</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kern w:val="0"/>
                <w:szCs w:val="21"/>
              </w:rPr>
            </w:pPr>
            <w:r>
              <w:rPr>
                <w:rFonts w:hint="eastAsia" w:ascii="宋体" w:hAnsi="宋体" w:cs="宋体"/>
                <w:kern w:val="0"/>
                <w:szCs w:val="21"/>
              </w:rPr>
              <w:t>沟通</w:t>
            </w:r>
          </w:p>
          <w:p>
            <w:pPr>
              <w:spacing w:line="280" w:lineRule="exact"/>
              <w:rPr>
                <w:rFonts w:ascii="宋体" w:hAnsi="宋体" w:cs="宋体"/>
                <w:szCs w:val="21"/>
              </w:rPr>
            </w:pPr>
          </w:p>
        </w:tc>
        <w:tc>
          <w:tcPr>
            <w:tcW w:w="1012" w:type="dxa"/>
          </w:tcPr>
          <w:p>
            <w:pPr>
              <w:spacing w:line="280" w:lineRule="exact"/>
              <w:rPr>
                <w:rFonts w:ascii="宋体" w:hAnsi="宋体" w:cs="宋体"/>
                <w:kern w:val="0"/>
                <w:szCs w:val="21"/>
              </w:rPr>
            </w:pPr>
            <w:r>
              <w:rPr>
                <w:rFonts w:hint="eastAsia" w:ascii="宋体" w:hAnsi="宋体" w:cs="宋体"/>
                <w:kern w:val="0"/>
                <w:szCs w:val="21"/>
              </w:rPr>
              <w:t>ES7.4</w:t>
            </w:r>
          </w:p>
          <w:p>
            <w:pPr>
              <w:spacing w:line="280" w:lineRule="exact"/>
            </w:pPr>
          </w:p>
        </w:tc>
        <w:tc>
          <w:tcPr>
            <w:tcW w:w="10642" w:type="dxa"/>
            <w:vAlign w:val="center"/>
          </w:tcPr>
          <w:p>
            <w:pPr>
              <w:spacing w:line="280" w:lineRule="exact"/>
              <w:ind w:firstLine="210" w:firstLineChars="100"/>
            </w:pPr>
          </w:p>
          <w:p>
            <w:pPr>
              <w:spacing w:line="280" w:lineRule="exact"/>
              <w:ind w:firstLine="210" w:firstLineChars="100"/>
            </w:pPr>
            <w:r>
              <w:rPr>
                <w:rFonts w:hint="eastAsia"/>
              </w:rPr>
              <w:t>公司编制并实施了《信息交流和协商沟通管理程序》，规定了职责、工作流程，包括内部沟通和外部沟通的方法和要求。</w:t>
            </w:r>
          </w:p>
          <w:p>
            <w:pPr>
              <w:spacing w:line="280" w:lineRule="exact"/>
              <w:ind w:firstLine="420" w:firstLineChars="200"/>
            </w:pPr>
            <w:r>
              <w:rPr>
                <w:rFonts w:hint="eastAsia"/>
              </w:rPr>
              <w:t>公司确定了环境、职业健康安全管理体系相关的内部和外部沟通，包括：沟通什么；何时沟通；与谁沟通；如何沟通；由谁负责，内外部沟通具体体现在公司内部工作会议、环境、职业健康安全例会、员工的培训、公司宣传栏等，与外部的沟通具体体现在合同签订、满意度调查。与环保、安监部门及顾客和供方等方面。</w:t>
            </w:r>
          </w:p>
          <w:p>
            <w:pPr>
              <w:spacing w:line="280" w:lineRule="exact"/>
              <w:ind w:firstLine="420" w:firstLineChars="200"/>
            </w:pPr>
            <w:r>
              <w:rPr>
                <w:rFonts w:hint="eastAsia"/>
              </w:rPr>
              <w:t>现场查阅内部交流：方针、目标完成情况、内审和管理评审报告、不符合信息等。</w:t>
            </w:r>
          </w:p>
          <w:p>
            <w:pPr>
              <w:spacing w:line="280" w:lineRule="exact"/>
            </w:pPr>
            <w:r>
              <w:rPr>
                <w:rFonts w:hint="eastAsia"/>
              </w:rPr>
              <w:t>外部交流：通过发放《关于对相关方要求的告知书》与相关方就相关环境、职业健康安全信息进行相互沟通。</w:t>
            </w:r>
          </w:p>
          <w:p>
            <w:pPr>
              <w:pStyle w:val="2"/>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宋体" w:hAnsi="宋体" w:cs="宋体"/>
                <w:szCs w:val="21"/>
              </w:rPr>
            </w:pPr>
            <w:r>
              <w:rPr>
                <w:rFonts w:hint="eastAsia" w:asciiTheme="minorEastAsia" w:hAnsiTheme="minorEastAsia" w:eastAsiaTheme="minorEastAsia" w:cstheme="minorEastAsia"/>
                <w:szCs w:val="21"/>
              </w:rPr>
              <w:t>绩效测量和监视</w:t>
            </w:r>
          </w:p>
        </w:tc>
        <w:tc>
          <w:tcPr>
            <w:tcW w:w="1012"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ES</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9.1.1</w:t>
            </w:r>
          </w:p>
          <w:p/>
        </w:tc>
        <w:tc>
          <w:tcPr>
            <w:tcW w:w="10642" w:type="dxa"/>
            <w:vAlign w:val="center"/>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公司编制了《顾客满意度控制程序》，对销售服务的质量特性进行监视和测量，以验证其符合要求的程度，确保服务符合要求。</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公司制定《内部审核控制程序》 、《管理评审控制程序》 和《数据分析控制程序》为保证公司质量管理体系的有效运行，通过对管理绩效的监视与测量，确保体系运行的有效性。</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查阅“环境和职业健康安全目标指标完成情况检查表”，体系建立至今共进行的管理目标指标的检查考核工作，均完成目标考核要求。</w:t>
            </w:r>
          </w:p>
          <w:p>
            <w:pPr>
              <w:ind w:firstLine="420" w:firstLineChars="200"/>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szCs w:val="21"/>
              </w:rPr>
              <w:t>环境和职业健康安全运行管理检查情况：抽查</w:t>
            </w:r>
            <w:r>
              <w:rPr>
                <w:rFonts w:asciiTheme="minorEastAsia" w:hAnsiTheme="minorEastAsia" w:eastAsiaTheme="minorEastAsia" w:cstheme="minorEastAsia"/>
                <w:szCs w:val="21"/>
              </w:rPr>
              <w:t>2021-8-16</w:t>
            </w:r>
            <w:r>
              <w:rPr>
                <w:rFonts w:hint="eastAsia" w:asciiTheme="minorEastAsia" w:hAnsiTheme="minorEastAsia" w:eastAsiaTheme="minorEastAsia" w:cstheme="minorEastAsia"/>
                <w:szCs w:val="21"/>
              </w:rPr>
              <w:t>管理检查记录，主控部门：综合部，检查人：黄姝姝，对固废收集、节约能源等方面进行检查、劳保用品发放、安全管理进行检查，一切正常，没有出现不及时发放P</w:t>
            </w:r>
            <w:r>
              <w:rPr>
                <w:rFonts w:asciiTheme="minorEastAsia" w:hAnsiTheme="minorEastAsia" w:eastAsiaTheme="minorEastAsia" w:cstheme="minorEastAsia"/>
                <w:szCs w:val="21"/>
              </w:rPr>
              <w:t>PE</w:t>
            </w:r>
            <w:r>
              <w:rPr>
                <w:rFonts w:hint="eastAsia" w:asciiTheme="minorEastAsia" w:hAnsiTheme="minorEastAsia" w:eastAsiaTheme="minorEastAsia" w:cstheme="minorEastAsia"/>
                <w:szCs w:val="21"/>
              </w:rPr>
              <w:t>的问题。</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公司为员工购买有养老等保险，提供购买证据。</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外部对公司环境和安全管理要求一般口头交流；对供应商及客户等相关方有“相关方告知书”等。</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目前未发现公司出现违规现象。无被动性绩效的监视和测量。</w:t>
            </w:r>
          </w:p>
          <w:p>
            <w:pPr>
              <w:ind w:firstLine="420" w:firstLineChars="200"/>
              <w:rPr>
                <w:rFonts w:ascii="宋体" w:hAnsi="宋体"/>
                <w:szCs w:val="21"/>
              </w:rPr>
            </w:pPr>
            <w:r>
              <w:rPr>
                <w:rFonts w:hint="eastAsia" w:asciiTheme="minorEastAsia" w:hAnsiTheme="minorEastAsia" w:eastAsiaTheme="minorEastAsia" w:cstheme="minorEastAsia"/>
                <w:szCs w:val="21"/>
              </w:rPr>
              <w:t>公司不需要对环境影响的运行的关键特性和职业健康安全绩效进行监测和测量的设备。</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管理评审</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ES</w:t>
            </w:r>
          </w:p>
          <w:p>
            <w:pPr>
              <w:spacing w:line="280" w:lineRule="exact"/>
              <w:rPr>
                <w:szCs w:val="21"/>
              </w:rPr>
            </w:pPr>
            <w:r>
              <w:rPr>
                <w:rFonts w:hint="eastAsia"/>
                <w:szCs w:val="21"/>
              </w:rPr>
              <w:t>9.3</w:t>
            </w:r>
          </w:p>
          <w:p>
            <w:pPr>
              <w:spacing w:line="280" w:lineRule="exact"/>
              <w:rPr>
                <w:szCs w:val="21"/>
              </w:rPr>
            </w:pPr>
          </w:p>
          <w:p>
            <w:pPr>
              <w:spacing w:line="280" w:lineRule="exact"/>
              <w:rPr>
                <w:szCs w:val="21"/>
              </w:rPr>
            </w:pPr>
          </w:p>
          <w:p>
            <w:pPr>
              <w:spacing w:line="280" w:lineRule="exact"/>
            </w:pPr>
          </w:p>
        </w:tc>
        <w:tc>
          <w:tcPr>
            <w:tcW w:w="10642" w:type="dxa"/>
            <w:vAlign w:val="center"/>
          </w:tcPr>
          <w:p>
            <w:pPr>
              <w:spacing w:line="280" w:lineRule="exact"/>
              <w:rPr>
                <w:rFonts w:ascii="宋体" w:hAnsi="宋体" w:cs="宋体"/>
                <w:szCs w:val="21"/>
              </w:rPr>
            </w:pPr>
            <w:r>
              <w:rPr>
                <w:rFonts w:hint="eastAsia" w:ascii="宋体" w:hAnsi="宋体" w:cs="宋体"/>
                <w:szCs w:val="21"/>
              </w:rPr>
              <w:t>提供：</w:t>
            </w:r>
          </w:p>
          <w:p>
            <w:pPr>
              <w:spacing w:line="280" w:lineRule="exact"/>
              <w:rPr>
                <w:rFonts w:ascii="宋体" w:hAnsi="宋体" w:cs="宋体"/>
                <w:szCs w:val="21"/>
              </w:rPr>
            </w:pPr>
            <w:r>
              <w:rPr>
                <w:rFonts w:hint="eastAsia" w:ascii="宋体" w:hAnsi="宋体" w:cs="宋体"/>
                <w:szCs w:val="21"/>
              </w:rPr>
              <w:t>1.管理评审计划，</w:t>
            </w:r>
          </w:p>
          <w:p>
            <w:pPr>
              <w:spacing w:line="280" w:lineRule="exact"/>
              <w:rPr>
                <w:rFonts w:ascii="宋体" w:hAnsi="宋体" w:cs="宋体"/>
                <w:szCs w:val="21"/>
              </w:rPr>
            </w:pPr>
            <w:r>
              <w:rPr>
                <w:rFonts w:hint="eastAsia" w:ascii="宋体" w:hAnsi="宋体" w:cs="宋体"/>
                <w:szCs w:val="21"/>
              </w:rPr>
              <w:t>评审时间：计划2021年9月27日进行，评审方式：会议评审，</w:t>
            </w:r>
          </w:p>
          <w:p>
            <w:pPr>
              <w:spacing w:line="280" w:lineRule="exact"/>
              <w:rPr>
                <w:rFonts w:ascii="宋体" w:hAnsi="宋体" w:cs="宋体"/>
                <w:szCs w:val="21"/>
              </w:rPr>
            </w:pPr>
            <w:r>
              <w:rPr>
                <w:rFonts w:hint="eastAsia" w:ascii="宋体" w:hAnsi="宋体" w:cs="宋体"/>
                <w:szCs w:val="21"/>
              </w:rPr>
              <w:t>编制：钱科</w:t>
            </w:r>
            <w:r>
              <w:rPr>
                <w:rFonts w:hint="eastAsia"/>
                <w:color w:val="000000"/>
                <w:szCs w:val="21"/>
              </w:rPr>
              <w:t xml:space="preserve"> </w:t>
            </w:r>
            <w:r>
              <w:rPr>
                <w:rFonts w:hint="eastAsia" w:ascii="宋体" w:hAnsi="宋体" w:cs="宋体"/>
                <w:szCs w:val="21"/>
              </w:rPr>
              <w:t xml:space="preserve">     审批：姜子炎      </w:t>
            </w:r>
          </w:p>
          <w:p>
            <w:pPr>
              <w:spacing w:line="280" w:lineRule="exact"/>
              <w:rPr>
                <w:rFonts w:ascii="宋体" w:hAnsi="宋体" w:cs="宋体"/>
                <w:szCs w:val="21"/>
              </w:rPr>
            </w:pPr>
            <w:r>
              <w:rPr>
                <w:rFonts w:hint="eastAsia" w:ascii="宋体" w:hAnsi="宋体" w:cs="宋体"/>
                <w:szCs w:val="21"/>
              </w:rPr>
              <w:t>参加人员包括姜子炎、钱科、王秋英、代允闯、黄姝姝、胡洪涛</w:t>
            </w:r>
          </w:p>
          <w:p>
            <w:pPr>
              <w:spacing w:line="280" w:lineRule="exact"/>
              <w:rPr>
                <w:rFonts w:ascii="宋体" w:hAnsi="宋体" w:cs="宋体"/>
                <w:szCs w:val="21"/>
              </w:rPr>
            </w:pPr>
            <w:r>
              <w:rPr>
                <w:rFonts w:hint="eastAsia" w:ascii="宋体" w:hAnsi="宋体" w:cs="宋体"/>
                <w:szCs w:val="21"/>
              </w:rPr>
              <w:t>计划中明确了评审内容和资料准备要求。</w:t>
            </w:r>
          </w:p>
          <w:p>
            <w:pPr>
              <w:numPr>
                <w:ilvl w:val="0"/>
                <w:numId w:val="1"/>
              </w:numPr>
              <w:spacing w:line="280" w:lineRule="exact"/>
              <w:rPr>
                <w:rFonts w:ascii="宋体" w:hAnsi="宋体"/>
                <w:szCs w:val="21"/>
              </w:rPr>
            </w:pPr>
            <w:r>
              <w:rPr>
                <w:rFonts w:hint="eastAsia" w:ascii="宋体" w:hAnsi="宋体" w:cs="宋体"/>
                <w:szCs w:val="21"/>
              </w:rPr>
              <w:t>管理</w:t>
            </w:r>
            <w:r>
              <w:rPr>
                <w:rFonts w:hint="eastAsia" w:ascii="宋体" w:hAnsi="宋体"/>
                <w:szCs w:val="21"/>
              </w:rPr>
              <w:t>评审内容：</w:t>
            </w:r>
          </w:p>
          <w:p>
            <w:pPr>
              <w:ind w:left="28"/>
              <w:rPr>
                <w:rFonts w:hint="eastAsia" w:ascii="宋体" w:hAnsi="宋体"/>
                <w:szCs w:val="21"/>
              </w:rPr>
            </w:pPr>
            <w:r>
              <w:rPr>
                <w:rFonts w:hint="eastAsia" w:ascii="宋体" w:hAnsi="宋体"/>
                <w:szCs w:val="21"/>
              </w:rPr>
              <w:t xml:space="preserve">1）顾客满意和相关方的反馈； </w:t>
            </w:r>
          </w:p>
          <w:p>
            <w:pPr>
              <w:ind w:left="28"/>
              <w:rPr>
                <w:rFonts w:hint="eastAsia" w:ascii="宋体" w:hAnsi="宋体"/>
                <w:szCs w:val="21"/>
              </w:rPr>
            </w:pPr>
            <w:r>
              <w:rPr>
                <w:rFonts w:hint="eastAsia" w:ascii="宋体" w:hAnsi="宋体"/>
                <w:szCs w:val="21"/>
              </w:rPr>
              <w:t xml:space="preserve">2）目标的实现程度； </w:t>
            </w:r>
          </w:p>
          <w:p>
            <w:pPr>
              <w:ind w:left="28"/>
              <w:rPr>
                <w:rFonts w:hint="eastAsia" w:ascii="宋体" w:hAnsi="宋体"/>
                <w:szCs w:val="21"/>
              </w:rPr>
            </w:pPr>
            <w:r>
              <w:rPr>
                <w:rFonts w:hint="eastAsia" w:ascii="宋体" w:hAnsi="宋体"/>
                <w:szCs w:val="21"/>
              </w:rPr>
              <w:t xml:space="preserve">3）过程绩效以及产品和服务的符合性； </w:t>
            </w:r>
          </w:p>
          <w:p>
            <w:pPr>
              <w:ind w:left="28"/>
              <w:rPr>
                <w:rFonts w:hint="eastAsia" w:ascii="宋体" w:hAnsi="宋体"/>
                <w:szCs w:val="21"/>
              </w:rPr>
            </w:pPr>
            <w:r>
              <w:rPr>
                <w:rFonts w:hint="eastAsia" w:ascii="宋体" w:hAnsi="宋体"/>
                <w:szCs w:val="21"/>
              </w:rPr>
              <w:t xml:space="preserve">4）不合格以及纠正措施； </w:t>
            </w:r>
          </w:p>
          <w:p>
            <w:pPr>
              <w:ind w:left="28"/>
              <w:rPr>
                <w:rFonts w:hint="eastAsia" w:ascii="宋体" w:hAnsi="宋体"/>
                <w:szCs w:val="21"/>
              </w:rPr>
            </w:pPr>
            <w:r>
              <w:rPr>
                <w:rFonts w:hint="eastAsia" w:ascii="宋体" w:hAnsi="宋体"/>
                <w:szCs w:val="21"/>
              </w:rPr>
              <w:t xml:space="preserve">5）监视和测量结果； </w:t>
            </w:r>
          </w:p>
          <w:p>
            <w:pPr>
              <w:ind w:left="28"/>
              <w:rPr>
                <w:rFonts w:hint="eastAsia" w:ascii="宋体" w:hAnsi="宋体"/>
                <w:szCs w:val="21"/>
              </w:rPr>
            </w:pPr>
            <w:r>
              <w:rPr>
                <w:rFonts w:hint="eastAsia" w:ascii="宋体" w:hAnsi="宋体"/>
                <w:szCs w:val="21"/>
              </w:rPr>
              <w:t xml:space="preserve">6）审核结果； </w:t>
            </w:r>
          </w:p>
          <w:p>
            <w:pPr>
              <w:ind w:left="28"/>
              <w:rPr>
                <w:rFonts w:hint="eastAsia" w:ascii="宋体" w:hAnsi="宋体"/>
                <w:szCs w:val="21"/>
              </w:rPr>
            </w:pPr>
            <w:r>
              <w:rPr>
                <w:rFonts w:hint="eastAsia" w:ascii="宋体" w:hAnsi="宋体"/>
                <w:szCs w:val="21"/>
              </w:rPr>
              <w:t xml:space="preserve">7）外部供方的绩效。 </w:t>
            </w:r>
          </w:p>
          <w:p>
            <w:pPr>
              <w:ind w:left="28"/>
              <w:rPr>
                <w:rFonts w:hint="eastAsia" w:ascii="宋体" w:hAnsi="宋体"/>
                <w:szCs w:val="21"/>
              </w:rPr>
            </w:pPr>
            <w:r>
              <w:rPr>
                <w:rFonts w:hint="eastAsia" w:ascii="宋体" w:hAnsi="宋体"/>
                <w:szCs w:val="21"/>
              </w:rPr>
              <w:t xml:space="preserve">d）资源的充分性； </w:t>
            </w:r>
          </w:p>
          <w:p>
            <w:pPr>
              <w:ind w:left="28"/>
              <w:rPr>
                <w:rFonts w:hint="eastAsia" w:ascii="宋体" w:hAnsi="宋体"/>
                <w:szCs w:val="21"/>
              </w:rPr>
            </w:pPr>
            <w:r>
              <w:rPr>
                <w:rFonts w:hint="eastAsia" w:ascii="宋体" w:hAnsi="宋体"/>
                <w:szCs w:val="21"/>
              </w:rPr>
              <w:t>e）应对风险和机遇所采取措施的有效性</w:t>
            </w:r>
          </w:p>
          <w:p>
            <w:pPr>
              <w:spacing w:line="280" w:lineRule="exact"/>
              <w:rPr>
                <w:rFonts w:hint="eastAsia" w:ascii="宋体" w:hAnsi="宋体"/>
                <w:szCs w:val="21"/>
              </w:rPr>
            </w:pPr>
            <w:r>
              <w:rPr>
                <w:rFonts w:hint="eastAsia" w:ascii="宋体" w:hAnsi="宋体"/>
                <w:szCs w:val="21"/>
              </w:rPr>
              <w:t>f）改进的机会。</w:t>
            </w:r>
          </w:p>
          <w:p>
            <w:pPr>
              <w:spacing w:line="280" w:lineRule="exact"/>
              <w:rPr>
                <w:rFonts w:ascii="宋体" w:hAnsi="宋体" w:cs="宋体"/>
                <w:szCs w:val="21"/>
              </w:rPr>
            </w:pPr>
            <w:r>
              <w:rPr>
                <w:rFonts w:hint="eastAsia" w:ascii="宋体" w:hAnsi="宋体" w:cs="宋体"/>
                <w:szCs w:val="21"/>
              </w:rPr>
              <w:t>3.管理评审报告</w:t>
            </w:r>
          </w:p>
          <w:p>
            <w:pPr>
              <w:spacing w:line="280" w:lineRule="exact"/>
              <w:rPr>
                <w:rFonts w:ascii="宋体" w:hAnsi="宋体" w:cs="宋体"/>
                <w:szCs w:val="21"/>
              </w:rPr>
            </w:pPr>
            <w:r>
              <w:rPr>
                <w:rFonts w:hint="eastAsia" w:ascii="宋体" w:hAnsi="宋体" w:cs="宋体"/>
                <w:szCs w:val="21"/>
              </w:rPr>
              <w:t>管理评审结论：公司各部门基本按照管理体系标准要求实施已初步取得良好的效果。公司方针、目标及管理方案、管理体系文件、环境、职业健康安全控制等符合公司目前发展状况，所配备的各类资源基本满足管理体系要求。公司环境、职业健康安全管理体系基本是充分、有效和适宜的。</w:t>
            </w:r>
          </w:p>
          <w:p>
            <w:pPr>
              <w:spacing w:line="280" w:lineRule="exact"/>
              <w:rPr>
                <w:rFonts w:hint="eastAsia" w:ascii="宋体" w:hAnsi="宋体" w:cs="宋体"/>
                <w:szCs w:val="21"/>
              </w:rPr>
            </w:pPr>
            <w:r>
              <w:rPr>
                <w:rFonts w:hint="eastAsia" w:ascii="宋体" w:hAnsi="宋体" w:cs="宋体"/>
                <w:szCs w:val="21"/>
              </w:rPr>
              <w:t>4.管理评审整改学习记录</w:t>
            </w:r>
          </w:p>
          <w:p>
            <w:pPr>
              <w:pStyle w:val="2"/>
              <w:rPr>
                <w:rFonts w:hint="eastAsia"/>
              </w:rPr>
            </w:pPr>
            <w:r>
              <w:rPr>
                <w:rFonts w:hint="eastAsia"/>
              </w:rPr>
              <w:t>学习内容：</w:t>
            </w:r>
          </w:p>
          <w:p>
            <w:pPr>
              <w:pStyle w:val="2"/>
            </w:pPr>
            <w:r>
              <w:rPr>
                <w:rFonts w:hint="eastAsia"/>
              </w:rPr>
              <w:t>“管理手册”、“控制程序”、“管理制度”等体系的文件</w:t>
            </w:r>
          </w:p>
          <w:p>
            <w:pPr>
              <w:spacing w:line="300" w:lineRule="auto"/>
              <w:ind w:firstLine="420" w:firstLineChars="200"/>
              <w:rPr>
                <w:rFonts w:hint="eastAsia" w:ascii="宋体" w:hAnsi="宋体"/>
                <w:szCs w:val="21"/>
              </w:rPr>
            </w:pPr>
            <w:r>
              <w:rPr>
                <w:rFonts w:hint="eastAsia" w:ascii="宋体" w:hAnsi="宋体"/>
                <w:szCs w:val="21"/>
              </w:rPr>
              <w:t>黄姝姝：对公司管理体系的文件构成进行了重新的讲解。姜子炎：对制定“管理手册”进行了讲解。</w:t>
            </w:r>
          </w:p>
          <w:p>
            <w:pPr>
              <w:spacing w:line="300" w:lineRule="auto"/>
              <w:ind w:firstLine="420" w:firstLineChars="200"/>
              <w:rPr>
                <w:rFonts w:ascii="宋体" w:hAnsi="宋体"/>
                <w:szCs w:val="21"/>
              </w:rPr>
            </w:pPr>
            <w:r>
              <w:rPr>
                <w:rFonts w:hint="eastAsia" w:ascii="宋体" w:hAnsi="宋体"/>
                <w:szCs w:val="21"/>
              </w:rPr>
              <w:t>钱科：对“控制程序”中的质量/环境因素/危险源识别、评价和更新控制程序、法律、法规和其他要求控制程序、管理方针、目标指标和管理方案控制程序进行了讲解。</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160" w:type="dxa"/>
          </w:tcPr>
          <w:p>
            <w:pPr>
              <w:spacing w:line="280" w:lineRule="exact"/>
              <w:rPr>
                <w:rFonts w:ascii="宋体" w:hAnsi="宋体" w:cs="宋体"/>
                <w:szCs w:val="21"/>
              </w:rPr>
            </w:pPr>
            <w:r>
              <w:rPr>
                <w:rFonts w:hint="eastAsia" w:ascii="宋体" w:hAnsi="宋体" w:cs="宋体"/>
                <w:szCs w:val="21"/>
              </w:rPr>
              <w:t>总则</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ES 10.1</w:t>
            </w:r>
          </w:p>
          <w:p>
            <w:pPr>
              <w:spacing w:line="280" w:lineRule="exact"/>
            </w:pPr>
          </w:p>
        </w:tc>
        <w:tc>
          <w:tcPr>
            <w:tcW w:w="10642" w:type="dxa"/>
          </w:tcPr>
          <w:p>
            <w:pPr>
              <w:spacing w:line="280" w:lineRule="exact"/>
              <w:ind w:firstLine="420" w:firstLineChars="200"/>
              <w:rPr>
                <w:rFonts w:ascii="宋体" w:hAnsi="宋体" w:cs="宋体"/>
                <w:szCs w:val="21"/>
              </w:rPr>
            </w:pPr>
            <w:r>
              <w:rPr>
                <w:rFonts w:hint="eastAsia" w:ascii="宋体" w:hAnsi="宋体" w:cs="宋体"/>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spacing w:line="280" w:lineRule="exact"/>
              <w:rPr>
                <w:rFonts w:ascii="宋体" w:hAnsi="宋体" w:cs="宋体"/>
                <w:szCs w:val="21"/>
              </w:rPr>
            </w:pPr>
            <w:r>
              <w:rPr>
                <w:rFonts w:hint="eastAsia" w:ascii="宋体" w:hAnsi="宋体" w:cs="宋体"/>
                <w:szCs w:val="21"/>
              </w:rPr>
              <w:t xml:space="preserve"> ——具体事实可见审核10.2条款记录。</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持续改进</w:t>
            </w:r>
          </w:p>
        </w:tc>
        <w:tc>
          <w:tcPr>
            <w:tcW w:w="1012" w:type="dxa"/>
          </w:tcPr>
          <w:p>
            <w:pPr>
              <w:spacing w:line="280" w:lineRule="exact"/>
              <w:rPr>
                <w:szCs w:val="21"/>
              </w:rPr>
            </w:pPr>
            <w:r>
              <w:rPr>
                <w:rFonts w:hint="eastAsia"/>
                <w:szCs w:val="21"/>
              </w:rPr>
              <w:t>ES10.3</w:t>
            </w:r>
          </w:p>
          <w:p>
            <w:pPr>
              <w:pStyle w:val="2"/>
            </w:pPr>
          </w:p>
          <w:p>
            <w:pPr>
              <w:spacing w:line="280" w:lineRule="exact"/>
            </w:pPr>
          </w:p>
        </w:tc>
        <w:tc>
          <w:tcPr>
            <w:tcW w:w="10642" w:type="dxa"/>
            <w:vAlign w:val="center"/>
          </w:tcPr>
          <w:p>
            <w:pPr>
              <w:spacing w:line="280" w:lineRule="exact"/>
              <w:rPr>
                <w:rFonts w:hint="eastAsia" w:ascii="宋体" w:hAnsi="宋体" w:cs="宋体"/>
                <w:szCs w:val="21"/>
              </w:rPr>
            </w:pPr>
            <w:r>
              <w:rPr>
                <w:rFonts w:hint="eastAsia" w:ascii="宋体" w:hAnsi="宋体" w:cs="宋体"/>
                <w:szCs w:val="21"/>
              </w:rPr>
              <w:t xml:space="preserve">   公司组织确定并选择改进机会，根据不同过程、不同产品和不同要求，采取不同的方法进行监视、测量和分析。</w:t>
            </w:r>
          </w:p>
          <w:p>
            <w:pPr>
              <w:spacing w:line="280" w:lineRule="exact"/>
              <w:rPr>
                <w:rFonts w:hint="eastAsia" w:ascii="宋体" w:hAnsi="宋体" w:cs="宋体"/>
                <w:szCs w:val="21"/>
              </w:rPr>
            </w:pPr>
            <w:r>
              <w:rPr>
                <w:rFonts w:hint="eastAsia" w:ascii="宋体" w:hAnsi="宋体" w:cs="宋体"/>
                <w:szCs w:val="21"/>
              </w:rPr>
              <w:t>采取必要措施，满足顾客要求和增强顾客满意。</w:t>
            </w:r>
          </w:p>
          <w:p>
            <w:pPr>
              <w:spacing w:line="280" w:lineRule="exact"/>
              <w:rPr>
                <w:rFonts w:hint="eastAsia" w:ascii="宋体" w:hAnsi="宋体" w:cs="宋体"/>
                <w:szCs w:val="21"/>
              </w:rPr>
            </w:pPr>
            <w:r>
              <w:rPr>
                <w:rFonts w:hint="eastAsia" w:ascii="宋体" w:hAnsi="宋体" w:cs="宋体"/>
                <w:szCs w:val="21"/>
              </w:rPr>
              <w:t>包括：</w:t>
            </w:r>
          </w:p>
          <w:p>
            <w:pPr>
              <w:spacing w:line="280" w:lineRule="exact"/>
              <w:rPr>
                <w:rFonts w:hint="eastAsia" w:ascii="宋体" w:hAnsi="宋体" w:cs="宋体"/>
                <w:szCs w:val="21"/>
              </w:rPr>
            </w:pPr>
            <w:r>
              <w:rPr>
                <w:rFonts w:hint="eastAsia" w:ascii="宋体" w:hAnsi="宋体" w:cs="宋体"/>
                <w:szCs w:val="21"/>
              </w:rPr>
              <w:t>a) 改进产品或服务，以满足要求并关注未来的需求和期望；</w:t>
            </w:r>
          </w:p>
          <w:p>
            <w:pPr>
              <w:spacing w:line="280" w:lineRule="exact"/>
              <w:rPr>
                <w:rFonts w:hint="eastAsia" w:ascii="宋体" w:hAnsi="宋体" w:cs="宋体"/>
                <w:szCs w:val="21"/>
              </w:rPr>
            </w:pPr>
            <w:r>
              <w:rPr>
                <w:rFonts w:hint="eastAsia" w:ascii="宋体" w:hAnsi="宋体" w:cs="宋体"/>
                <w:szCs w:val="21"/>
              </w:rPr>
              <w:t>b) 纠正或减少不利影响；</w:t>
            </w:r>
          </w:p>
          <w:p>
            <w:pPr>
              <w:spacing w:line="280" w:lineRule="exact"/>
              <w:rPr>
                <w:rFonts w:hint="eastAsia" w:ascii="宋体" w:hAnsi="宋体" w:cs="宋体"/>
                <w:szCs w:val="21"/>
              </w:rPr>
            </w:pPr>
            <w:r>
              <w:rPr>
                <w:rFonts w:hint="eastAsia" w:ascii="宋体" w:hAnsi="宋体" w:cs="宋体"/>
                <w:szCs w:val="21"/>
              </w:rPr>
              <w:t>c) 改进管理体系绩效和有效性。</w:t>
            </w:r>
          </w:p>
          <w:p>
            <w:pPr>
              <w:spacing w:line="280" w:lineRule="exact"/>
              <w:rPr>
                <w:rFonts w:hint="eastAsia" w:ascii="宋体" w:hAnsi="宋体" w:cs="宋体"/>
                <w:szCs w:val="21"/>
              </w:rPr>
            </w:pPr>
            <w:r>
              <w:rPr>
                <w:rFonts w:hint="eastAsia" w:ascii="宋体" w:hAnsi="宋体" w:cs="宋体"/>
                <w:szCs w:val="21"/>
              </w:rPr>
              <w:t>改进的示例可以包括纠正、纠正措施、持续改进。</w:t>
            </w:r>
          </w:p>
          <w:p>
            <w:pPr>
              <w:spacing w:line="280" w:lineRule="exact"/>
              <w:rPr>
                <w:rFonts w:hint="eastAsia" w:ascii="宋体" w:hAnsi="宋体" w:cs="宋体"/>
                <w:szCs w:val="21"/>
              </w:rPr>
            </w:pPr>
            <w:r>
              <w:rPr>
                <w:rFonts w:hint="eastAsia" w:ascii="宋体" w:hAnsi="宋体" w:cs="宋体"/>
                <w:szCs w:val="21"/>
              </w:rPr>
              <w:t>为确保公司提供给客户合格的产品和产品，公司开展检查和考核工作，对以下方面所需的监视、测量、分析和改进过程进行策划和实施：</w:t>
            </w:r>
          </w:p>
          <w:p>
            <w:pPr>
              <w:spacing w:line="280" w:lineRule="exact"/>
              <w:rPr>
                <w:rFonts w:hint="eastAsia" w:ascii="宋体" w:hAnsi="宋体" w:cs="宋体"/>
                <w:szCs w:val="21"/>
              </w:rPr>
            </w:pPr>
            <w:r>
              <w:rPr>
                <w:rFonts w:hint="eastAsia" w:ascii="宋体" w:hAnsi="宋体" w:cs="宋体"/>
                <w:szCs w:val="21"/>
              </w:rPr>
              <w:t>1.证实产品满足规定的要求；</w:t>
            </w:r>
          </w:p>
          <w:p>
            <w:pPr>
              <w:spacing w:line="280" w:lineRule="exact"/>
              <w:rPr>
                <w:rFonts w:hint="eastAsia" w:ascii="宋体" w:hAnsi="宋体" w:cs="宋体"/>
                <w:szCs w:val="21"/>
              </w:rPr>
            </w:pPr>
            <w:r>
              <w:rPr>
                <w:rFonts w:hint="eastAsia" w:ascii="宋体" w:hAnsi="宋体" w:cs="宋体"/>
                <w:szCs w:val="21"/>
              </w:rPr>
              <w:t>2.确保管理体系的符合性；</w:t>
            </w:r>
          </w:p>
          <w:p>
            <w:pPr>
              <w:spacing w:line="280" w:lineRule="exact"/>
              <w:rPr>
                <w:rFonts w:hint="eastAsia" w:ascii="宋体" w:hAnsi="宋体" w:cs="宋体"/>
                <w:szCs w:val="21"/>
              </w:rPr>
            </w:pPr>
            <w:r>
              <w:rPr>
                <w:rFonts w:hint="eastAsia" w:ascii="宋体" w:hAnsi="宋体" w:cs="宋体"/>
                <w:szCs w:val="21"/>
              </w:rPr>
              <w:t>3.持续改进管理体系的有效性。</w:t>
            </w:r>
          </w:p>
          <w:p>
            <w:pPr>
              <w:pStyle w:val="2"/>
            </w:pPr>
            <w:r>
              <w:rPr>
                <w:rFonts w:hint="eastAsia" w:ascii="宋体" w:hAnsi="宋体" w:cs="宋体"/>
                <w:szCs w:val="21"/>
              </w:rPr>
              <w:t>公司利用管理方针、目标、内审和外审、数据分析、纠正和预防措施以及管理评审，识别任何改进的机会，持续改进管理体系的适宜性、充分性和有效性。</w:t>
            </w:r>
          </w:p>
        </w:tc>
        <w:tc>
          <w:tcPr>
            <w:tcW w:w="89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hint="eastAsia" w:ascii="宋体" w:hAnsi="宋体" w:cs="宋体"/>
                <w:szCs w:val="21"/>
              </w:rPr>
            </w:pPr>
          </w:p>
        </w:tc>
        <w:tc>
          <w:tcPr>
            <w:tcW w:w="1012" w:type="dxa"/>
          </w:tcPr>
          <w:p>
            <w:pPr>
              <w:spacing w:line="280" w:lineRule="exact"/>
            </w:pPr>
          </w:p>
        </w:tc>
        <w:tc>
          <w:tcPr>
            <w:tcW w:w="10642" w:type="dxa"/>
            <w:vAlign w:val="center"/>
          </w:tcPr>
          <w:p>
            <w:pPr>
              <w:adjustRightInd w:val="0"/>
              <w:snapToGrid w:val="0"/>
              <w:rPr>
                <w:rFonts w:asciiTheme="minorEastAsia" w:hAnsiTheme="minorEastAsia" w:eastAsiaTheme="minorEastAsia"/>
                <w:szCs w:val="21"/>
              </w:rPr>
            </w:pPr>
            <w:r>
              <w:rPr>
                <w:rFonts w:hint="eastAsia" w:asciiTheme="minorEastAsia" w:hAnsiTheme="minorEastAsia" w:eastAsiaTheme="minorEastAsia"/>
                <w:szCs w:val="21"/>
              </w:rPr>
              <w:t>提供营业执照原件真实可信.</w:t>
            </w:r>
          </w:p>
          <w:p>
            <w:pPr>
              <w:adjustRightInd w:val="0"/>
              <w:snapToGrid w:val="0"/>
              <w:rPr>
                <w:rFonts w:asciiTheme="minorEastAsia" w:hAnsiTheme="minorEastAsia" w:eastAsiaTheme="minorEastAsia"/>
                <w:szCs w:val="21"/>
              </w:rPr>
            </w:pPr>
            <w:r>
              <w:rPr>
                <w:rFonts w:hint="eastAsia" w:asciiTheme="minorEastAsia" w:hAnsiTheme="minorEastAsia" w:eastAsiaTheme="minorEastAsia"/>
                <w:szCs w:val="21"/>
              </w:rPr>
              <w:t>顾客投诉情况：未发生</w:t>
            </w:r>
          </w:p>
          <w:p>
            <w:pPr>
              <w:adjustRightInd w:val="0"/>
              <w:snapToGrid w:val="0"/>
              <w:rPr>
                <w:rFonts w:asciiTheme="minorEastAsia" w:hAnsiTheme="minorEastAsia" w:eastAsiaTheme="minorEastAsia"/>
                <w:szCs w:val="21"/>
              </w:rPr>
            </w:pPr>
            <w:r>
              <w:rPr>
                <w:rFonts w:hint="eastAsia" w:asciiTheme="minorEastAsia" w:hAnsiTheme="minorEastAsia" w:eastAsiaTheme="minorEastAsia"/>
                <w:szCs w:val="21"/>
              </w:rPr>
              <w:t>上级检查情况：未发生</w:t>
            </w:r>
          </w:p>
          <w:p>
            <w:pPr>
              <w:adjustRightInd w:val="0"/>
              <w:snapToGrid w:val="0"/>
              <w:rPr>
                <w:rFonts w:asciiTheme="minorEastAsia" w:hAnsiTheme="minorEastAsia" w:eastAsiaTheme="minorEastAsia"/>
                <w:szCs w:val="21"/>
              </w:rPr>
            </w:pPr>
            <w:r>
              <w:rPr>
                <w:rFonts w:hint="eastAsia" w:asciiTheme="minorEastAsia" w:hAnsiTheme="minorEastAsia" w:eastAsiaTheme="minorEastAsia"/>
                <w:szCs w:val="21"/>
              </w:rPr>
              <w:t>主要用于投标，未发现违规使用证据</w:t>
            </w:r>
          </w:p>
          <w:p>
            <w:pPr>
              <w:adjustRightInd w:val="0"/>
              <w:snapToGrid w:val="0"/>
              <w:rPr>
                <w:rFonts w:asciiTheme="minorEastAsia" w:hAnsiTheme="minorEastAsia" w:eastAsiaTheme="minorEastAsia"/>
                <w:szCs w:val="21"/>
              </w:rPr>
            </w:pPr>
            <w:r>
              <w:rPr>
                <w:rFonts w:hint="eastAsia" w:asciiTheme="minorEastAsia" w:hAnsiTheme="minorEastAsia" w:eastAsiaTheme="minorEastAsia"/>
                <w:szCs w:val="21"/>
              </w:rPr>
              <w:t>质量抽查：体系运行期间未进行抽查情况。</w:t>
            </w:r>
          </w:p>
          <w:p>
            <w:pPr>
              <w:adjustRightInd w:val="0"/>
              <w:snapToGrid w:val="0"/>
              <w:rPr>
                <w:rFonts w:asciiTheme="minorEastAsia" w:hAnsiTheme="minorEastAsia" w:eastAsiaTheme="minorEastAsia"/>
                <w:szCs w:val="21"/>
              </w:rPr>
            </w:pPr>
            <w:r>
              <w:rPr>
                <w:rFonts w:hint="eastAsia" w:asciiTheme="minorEastAsia" w:hAnsiTheme="minorEastAsia" w:eastAsiaTheme="minorEastAsia"/>
                <w:szCs w:val="21"/>
              </w:rPr>
              <w:t>在体系运行期间未发生重大质量安全事故。</w:t>
            </w:r>
          </w:p>
          <w:p>
            <w:pPr>
              <w:adjustRightInd w:val="0"/>
              <w:snapToGrid w:val="0"/>
              <w:rPr>
                <w:rFonts w:asciiTheme="minorEastAsia" w:hAnsiTheme="minorEastAsia" w:eastAsiaTheme="minorEastAsia"/>
                <w:szCs w:val="21"/>
              </w:rPr>
            </w:pPr>
            <w:r>
              <w:rPr>
                <w:rFonts w:asciiTheme="minorEastAsia" w:hAnsiTheme="minorEastAsia" w:eastAsiaTheme="minorEastAsia"/>
                <w:szCs w:val="21"/>
              </w:rPr>
              <w:t>变更</w:t>
            </w:r>
            <w:r>
              <w:rPr>
                <w:rFonts w:hint="eastAsia" w:asciiTheme="minorEastAsia" w:hAnsiTheme="minorEastAsia" w:eastAsiaTheme="minorEastAsia"/>
                <w:szCs w:val="21"/>
              </w:rPr>
              <w:t>：</w:t>
            </w:r>
            <w:r>
              <w:rPr>
                <w:rFonts w:asciiTheme="minorEastAsia" w:hAnsiTheme="minorEastAsia" w:eastAsiaTheme="minorEastAsia"/>
                <w:szCs w:val="21"/>
              </w:rPr>
              <w:t>无</w:t>
            </w:r>
          </w:p>
          <w:p>
            <w:pPr>
              <w:pStyle w:val="2"/>
              <w:rPr>
                <w:rFonts w:hint="eastAsia" w:ascii="宋体" w:hAnsi="宋体" w:cs="宋体"/>
                <w:szCs w:val="21"/>
              </w:rPr>
            </w:pPr>
            <w:r>
              <w:rPr>
                <w:rFonts w:hint="eastAsia" w:asciiTheme="minorEastAsia" w:hAnsiTheme="minorEastAsia" w:eastAsiaTheme="minorEastAsia"/>
                <w:szCs w:val="21"/>
              </w:rPr>
              <w:t>上年度不符合验证；不符合已整改，符合要求</w:t>
            </w:r>
            <w:r>
              <w:rPr>
                <w:rFonts w:asciiTheme="minorEastAsia" w:hAnsiTheme="minorEastAsia" w:eastAsiaTheme="minorEastAsia"/>
                <w:szCs w:val="21"/>
              </w:rPr>
              <w:t xml:space="preserve"> </w:t>
            </w:r>
            <w:bookmarkStart w:id="1" w:name="_GoBack"/>
            <w:bookmarkEnd w:id="1"/>
          </w:p>
        </w:tc>
        <w:tc>
          <w:tcPr>
            <w:tcW w:w="895" w:type="dxa"/>
          </w:tcPr>
          <w:p>
            <w:pPr>
              <w:rPr>
                <w:rFonts w:hint="eastAsia"/>
              </w:rPr>
            </w:pPr>
          </w:p>
        </w:tc>
      </w:tr>
    </w:tbl>
    <w:p>
      <w:r>
        <w:ptab w:relativeTo="margin" w:alignment="center" w:leader="none"/>
      </w:r>
    </w:p>
    <w:p/>
    <w:p/>
    <w:p>
      <w:pPr>
        <w:pStyle w:val="4"/>
      </w:pPr>
      <w:r>
        <w:rPr>
          <w:rFonts w:hint="eastAsia"/>
        </w:rPr>
        <w:t>说明：不符合标注N</w:t>
      </w:r>
    </w:p>
    <w:sectPr>
      <w:headerReference r:id="rId5" w:type="default"/>
      <w:footerReference r:id="rId6" w:type="default"/>
      <w:pgSz w:w="16838" w:h="11906" w:orient="landscape"/>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1"/>
      </w:pBdr>
      <w:spacing w:line="320" w:lineRule="exact"/>
      <w:jc w:val="left"/>
    </w:pPr>
    <w:r>
      <w:pict>
        <v:shape id="文本框 1" o:spid="_x0000_s3073"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1"/>
        <w:rFonts w:hint="default"/>
      </w:rPr>
      <w:t xml:space="preserve">        </w:t>
    </w:r>
    <w:r>
      <w:rPr>
        <w:rStyle w:val="11"/>
        <w:rFonts w:hint="default"/>
        <w:w w:val="90"/>
      </w:rPr>
      <w:t>Beijing International Standard united Certification Co.,Ltd.</w:t>
    </w:r>
    <w:r>
      <w:rPr>
        <w:rStyle w:val="11"/>
        <w:rFonts w:hint="default"/>
        <w:w w:val="90"/>
        <w:szCs w:val="21"/>
      </w:rPr>
      <w:t xml:space="preserve">  </w:t>
    </w:r>
    <w:r>
      <w:rPr>
        <w:rStyle w:val="11"/>
        <w:rFonts w:hint="default"/>
        <w:w w:val="90"/>
        <w:sz w:val="20"/>
      </w:rPr>
      <w:t xml:space="preserve"> </w:t>
    </w:r>
    <w:r>
      <w:rPr>
        <w:rStyle w:val="11"/>
        <w:rFonts w:hint="default"/>
        <w:w w:val="90"/>
      </w:rPr>
      <w:t xml:space="preserve">                   </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1A606B"/>
    <w:multiLevelType w:val="singleLevel"/>
    <w:tmpl w:val="621A606B"/>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75B05"/>
    <w:rsid w:val="00081710"/>
    <w:rsid w:val="000E6BC4"/>
    <w:rsid w:val="001253A4"/>
    <w:rsid w:val="00135A42"/>
    <w:rsid w:val="001946AD"/>
    <w:rsid w:val="001A2D7F"/>
    <w:rsid w:val="001C1C73"/>
    <w:rsid w:val="00206B86"/>
    <w:rsid w:val="00262DAD"/>
    <w:rsid w:val="00267549"/>
    <w:rsid w:val="002E3960"/>
    <w:rsid w:val="003217EC"/>
    <w:rsid w:val="00337922"/>
    <w:rsid w:val="00340867"/>
    <w:rsid w:val="00344DFE"/>
    <w:rsid w:val="00366C83"/>
    <w:rsid w:val="00380837"/>
    <w:rsid w:val="003A198A"/>
    <w:rsid w:val="003B64A0"/>
    <w:rsid w:val="003D4ACE"/>
    <w:rsid w:val="00410914"/>
    <w:rsid w:val="00452B82"/>
    <w:rsid w:val="004A446E"/>
    <w:rsid w:val="004A6E4C"/>
    <w:rsid w:val="00536930"/>
    <w:rsid w:val="00546288"/>
    <w:rsid w:val="00564E53"/>
    <w:rsid w:val="005E0E30"/>
    <w:rsid w:val="005F4EAF"/>
    <w:rsid w:val="006145BC"/>
    <w:rsid w:val="00644FE2"/>
    <w:rsid w:val="00663DEB"/>
    <w:rsid w:val="0067640C"/>
    <w:rsid w:val="006E41CD"/>
    <w:rsid w:val="006E678B"/>
    <w:rsid w:val="006F161B"/>
    <w:rsid w:val="007232CA"/>
    <w:rsid w:val="00754B7E"/>
    <w:rsid w:val="007757F3"/>
    <w:rsid w:val="0079159C"/>
    <w:rsid w:val="007B7141"/>
    <w:rsid w:val="007E6AEB"/>
    <w:rsid w:val="00805673"/>
    <w:rsid w:val="008973EE"/>
    <w:rsid w:val="0094085F"/>
    <w:rsid w:val="00971600"/>
    <w:rsid w:val="0097607B"/>
    <w:rsid w:val="009973B4"/>
    <w:rsid w:val="009B2DCE"/>
    <w:rsid w:val="009C28C1"/>
    <w:rsid w:val="009F7EED"/>
    <w:rsid w:val="00A27A20"/>
    <w:rsid w:val="00A36EF9"/>
    <w:rsid w:val="00A658B5"/>
    <w:rsid w:val="00AA3E6B"/>
    <w:rsid w:val="00AF0AAB"/>
    <w:rsid w:val="00BF029D"/>
    <w:rsid w:val="00BF597E"/>
    <w:rsid w:val="00C51A36"/>
    <w:rsid w:val="00C55228"/>
    <w:rsid w:val="00CB3080"/>
    <w:rsid w:val="00CB367C"/>
    <w:rsid w:val="00CE315A"/>
    <w:rsid w:val="00D06F59"/>
    <w:rsid w:val="00D8388C"/>
    <w:rsid w:val="00DC0E86"/>
    <w:rsid w:val="00E45988"/>
    <w:rsid w:val="00E63C71"/>
    <w:rsid w:val="00EB0164"/>
    <w:rsid w:val="00ED0F62"/>
    <w:rsid w:val="00F0658F"/>
    <w:rsid w:val="00FB448E"/>
    <w:rsid w:val="02B84719"/>
    <w:rsid w:val="03640893"/>
    <w:rsid w:val="069E7BAA"/>
    <w:rsid w:val="076C318E"/>
    <w:rsid w:val="087032D5"/>
    <w:rsid w:val="09F832E0"/>
    <w:rsid w:val="0AE65CCB"/>
    <w:rsid w:val="0B250CFE"/>
    <w:rsid w:val="0D315138"/>
    <w:rsid w:val="0DB71123"/>
    <w:rsid w:val="0FB77A13"/>
    <w:rsid w:val="102A2CE8"/>
    <w:rsid w:val="108219C2"/>
    <w:rsid w:val="113A015C"/>
    <w:rsid w:val="15AB31D4"/>
    <w:rsid w:val="170D1054"/>
    <w:rsid w:val="1CE90D68"/>
    <w:rsid w:val="201C35DE"/>
    <w:rsid w:val="24FE116D"/>
    <w:rsid w:val="25EB74EE"/>
    <w:rsid w:val="28491A9D"/>
    <w:rsid w:val="2D807A3F"/>
    <w:rsid w:val="2E4E2574"/>
    <w:rsid w:val="30A27C87"/>
    <w:rsid w:val="312266EE"/>
    <w:rsid w:val="34524295"/>
    <w:rsid w:val="34ED1C2F"/>
    <w:rsid w:val="351279DA"/>
    <w:rsid w:val="39A30999"/>
    <w:rsid w:val="3DAC16ED"/>
    <w:rsid w:val="3E03163F"/>
    <w:rsid w:val="3E183177"/>
    <w:rsid w:val="41C05420"/>
    <w:rsid w:val="4A5F6016"/>
    <w:rsid w:val="4D2860C7"/>
    <w:rsid w:val="4DE94ACF"/>
    <w:rsid w:val="50AE1FD3"/>
    <w:rsid w:val="52447F1C"/>
    <w:rsid w:val="5B270D40"/>
    <w:rsid w:val="5C9406EC"/>
    <w:rsid w:val="5EA12B9A"/>
    <w:rsid w:val="6147060A"/>
    <w:rsid w:val="61DC0836"/>
    <w:rsid w:val="62F43393"/>
    <w:rsid w:val="68B5413B"/>
    <w:rsid w:val="6991333C"/>
    <w:rsid w:val="6A403FC3"/>
    <w:rsid w:val="6CFB6932"/>
    <w:rsid w:val="6D2C467F"/>
    <w:rsid w:val="6EEF7A0A"/>
    <w:rsid w:val="71474E7E"/>
    <w:rsid w:val="72C70F1A"/>
    <w:rsid w:val="74821EB4"/>
    <w:rsid w:val="7AD02CAD"/>
    <w:rsid w:val="7AE8376A"/>
    <w:rsid w:val="7BFB0B28"/>
    <w:rsid w:val="7DCE78D1"/>
    <w:rsid w:val="7DDC5A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info-content-text"/>
    <w:basedOn w:val="7"/>
    <w:qFormat/>
    <w:uiPriority w:val="0"/>
  </w:style>
  <w:style w:type="character" w:customStyle="1" w:styleId="13">
    <w:name w:val="info-expand-btn"/>
    <w:basedOn w:val="7"/>
    <w:uiPriority w:val="0"/>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TUV</Company>
  <Pages>13</Pages>
  <Words>1029</Words>
  <Characters>5868</Characters>
  <Lines>48</Lines>
  <Paragraphs>13</Paragraphs>
  <TotalTime>0</TotalTime>
  <ScaleCrop>false</ScaleCrop>
  <LinksUpToDate>false</LinksUpToDate>
  <CharactersWithSpaces>6884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2021-10-20T07:33:37Z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MSIP_Label_d3d538fd-7cd2-4b8b-bd42-f6ee8cc1e568_Enabled">
    <vt:lpwstr>true</vt:lpwstr>
  </property>
  <property fmtid="{D5CDD505-2E9C-101B-9397-08002B2CF9AE}" pid="4" name="MSIP_Label_d3d538fd-7cd2-4b8b-bd42-f6ee8cc1e568_SetDate">
    <vt:lpwstr>2021-10-11T12:13:18Z</vt:lpwstr>
  </property>
  <property fmtid="{D5CDD505-2E9C-101B-9397-08002B2CF9AE}" pid="5" name="MSIP_Label_d3d538fd-7cd2-4b8b-bd42-f6ee8cc1e568_Method">
    <vt:lpwstr>Standard</vt:lpwstr>
  </property>
  <property fmtid="{D5CDD505-2E9C-101B-9397-08002B2CF9AE}" pid="6" name="MSIP_Label_d3d538fd-7cd2-4b8b-bd42-f6ee8cc1e568_Name">
    <vt:lpwstr>d3d538fd-7cd2-4b8b-bd42-f6ee8cc1e568</vt:lpwstr>
  </property>
  <property fmtid="{D5CDD505-2E9C-101B-9397-08002B2CF9AE}" pid="7" name="MSIP_Label_d3d538fd-7cd2-4b8b-bd42-f6ee8cc1e568_SiteId">
    <vt:lpwstr>255bd3b3-8412-4e31-a3ec-56916c7ae8c0</vt:lpwstr>
  </property>
  <property fmtid="{D5CDD505-2E9C-101B-9397-08002B2CF9AE}" pid="8" name="MSIP_Label_d3d538fd-7cd2-4b8b-bd42-f6ee8cc1e568_ActionId">
    <vt:lpwstr>adccd073-036c-4fc7-9e65-d48f83ca3367</vt:lpwstr>
  </property>
  <property fmtid="{D5CDD505-2E9C-101B-9397-08002B2CF9AE}" pid="9" name="MSIP_Label_d3d538fd-7cd2-4b8b-bd42-f6ee8cc1e568_ContentBits">
    <vt:lpwstr>0</vt:lpwstr>
  </property>
  <property fmtid="{D5CDD505-2E9C-101B-9397-08002B2CF9AE}" pid="10" name="ICV">
    <vt:lpwstr>6FCB60EEEDF64289AD9DEBAA2D3AAFA4</vt:lpwstr>
  </property>
</Properties>
</file>