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sz w:val="36"/>
          <w:szCs w:val="36"/>
          <w:lang w:val="en-US" w:eastAsia="zh-CN"/>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采购</w:t>
            </w:r>
            <w:r>
              <w:rPr>
                <w:rFonts w:hint="eastAsia" w:ascii="宋体" w:hAnsi="宋体" w:eastAsiaTheme="minorEastAsia"/>
                <w:sz w:val="18"/>
                <w:szCs w:val="22"/>
                <w:lang w:eastAsia="zh-CN"/>
              </w:rPr>
              <w:t>部</w:t>
            </w:r>
            <w:r>
              <w:rPr>
                <w:rFonts w:hint="eastAsia" w:asciiTheme="minorEastAsia" w:hAnsiTheme="minorEastAsia" w:eastAsiaTheme="minorEastAsia" w:cstheme="minorEastAsia"/>
                <w:szCs w:val="21"/>
              </w:rPr>
              <w:t xml:space="preserve">     主管领导：</w:t>
            </w:r>
            <w:r>
              <w:rPr>
                <w:rFonts w:hint="default"/>
                <w:lang w:val="en-US" w:eastAsia="zh-CN"/>
              </w:rPr>
              <w:t>胡洪涛</w:t>
            </w:r>
            <w:r>
              <w:rPr>
                <w:rFonts w:hint="default"/>
                <w:lang w:val="en-US" w:eastAsia="zh-CN"/>
              </w:rPr>
              <w:tab/>
            </w:r>
            <w:r>
              <w:rPr>
                <w:rFonts w:hint="eastAsia" w:asciiTheme="minorEastAsia" w:hAnsiTheme="minorEastAsia" w:eastAsiaTheme="minorEastAsia" w:cstheme="minorEastAsia"/>
                <w:szCs w:val="21"/>
              </w:rPr>
              <w:t xml:space="preserve">   陪同人员：</w:t>
            </w:r>
            <w:r>
              <w:rPr>
                <w:rFonts w:hint="default"/>
                <w:lang w:val="en-US" w:eastAsia="zh-CN"/>
              </w:rPr>
              <w:t>钱科</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sz w:val="18"/>
                <w:szCs w:val="18"/>
              </w:rPr>
              <w:t>李京田</w:t>
            </w:r>
            <w:r>
              <w:rPr>
                <w:rFonts w:hint="eastAsia" w:asciiTheme="minorEastAsia" w:hAnsiTheme="minorEastAsia" w:eastAsiaTheme="minorEastAsia" w:cstheme="minorEastAsia"/>
                <w:szCs w:val="21"/>
              </w:rPr>
              <w:t xml:space="preserve">         审核时间：</w:t>
            </w:r>
            <w:r>
              <w:rPr>
                <w:rFonts w:hint="eastAsia" w:asciiTheme="minorEastAsia" w:hAnsiTheme="minorEastAsia" w:eastAsiaTheme="minorEastAsia" w:cstheme="minorEastAsia"/>
                <w:szCs w:val="21"/>
                <w:lang w:val="en-US" w:eastAsia="zh-CN"/>
              </w:rPr>
              <w:t>2021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hint="eastAsia"/>
              </w:rPr>
            </w:pPr>
            <w:r>
              <w:rPr>
                <w:rFonts w:hint="eastAsia"/>
              </w:rPr>
              <w:t xml:space="preserve">审核条款 </w:t>
            </w:r>
          </w:p>
          <w:p>
            <w:pPr>
              <w:snapToGrid w:val="0"/>
              <w:spacing w:line="260" w:lineRule="exact"/>
              <w:rPr>
                <w:rFonts w:ascii="宋体" w:hAnsi="宋体" w:cs="宋体"/>
                <w:b/>
                <w:bCs/>
                <w:sz w:val="21"/>
                <w:szCs w:val="21"/>
              </w:rPr>
            </w:pPr>
            <w:r>
              <w:rPr>
                <w:rFonts w:hint="eastAsia" w:ascii="宋体" w:hAnsi="宋体" w:cs="宋体"/>
                <w:b/>
                <w:bCs/>
                <w:sz w:val="21"/>
                <w:szCs w:val="21"/>
              </w:rPr>
              <w:t>Q:5.3/6.1.2/6.2/8.4/9.1.2</w:t>
            </w:r>
          </w:p>
          <w:p>
            <w:pPr>
              <w:snapToGrid w:val="0"/>
              <w:spacing w:line="260" w:lineRule="exact"/>
              <w:rPr>
                <w:rFonts w:hint="eastAsia" w:ascii="宋体" w:hAnsi="宋体" w:cs="宋体"/>
                <w:b/>
                <w:bCs/>
                <w:sz w:val="21"/>
                <w:szCs w:val="21"/>
              </w:rPr>
            </w:pPr>
            <w:r>
              <w:rPr>
                <w:rFonts w:hint="eastAsia" w:ascii="宋体" w:hAnsi="宋体" w:cs="宋体"/>
                <w:b/>
                <w:bCs/>
                <w:sz w:val="21"/>
                <w:szCs w:val="21"/>
              </w:rPr>
              <w:t>E:5.3</w:t>
            </w:r>
            <w:r>
              <w:rPr>
                <w:rFonts w:hint="eastAsia" w:ascii="宋体" w:hAnsi="宋体" w:cs="宋体"/>
                <w:b/>
                <w:bCs/>
                <w:sz w:val="21"/>
                <w:szCs w:val="21"/>
                <w:lang w:val="en-US" w:eastAsia="zh-CN"/>
              </w:rPr>
              <w:t>/</w:t>
            </w:r>
            <w:r>
              <w:rPr>
                <w:rFonts w:hint="eastAsia" w:ascii="宋体" w:hAnsi="宋体" w:cs="宋体"/>
                <w:b/>
                <w:bCs/>
                <w:sz w:val="21"/>
                <w:szCs w:val="21"/>
              </w:rPr>
              <w:t>6.1.2/6.2/8.1/8.2</w:t>
            </w:r>
          </w:p>
          <w:p>
            <w:pPr>
              <w:snapToGrid w:val="0"/>
              <w:spacing w:line="260" w:lineRule="exact"/>
              <w:rPr>
                <w:rFonts w:ascii="宋体" w:hAnsi="宋体" w:cs="宋体"/>
                <w:b/>
                <w:bCs/>
                <w:szCs w:val="21"/>
              </w:rPr>
            </w:pPr>
            <w:r>
              <w:rPr>
                <w:rFonts w:hint="eastAsia" w:ascii="宋体" w:hAnsi="宋体" w:cs="宋体"/>
                <w:b/>
                <w:bCs/>
                <w:sz w:val="21"/>
                <w:szCs w:val="21"/>
                <w:lang w:val="en-US" w:eastAsia="zh-CN"/>
              </w:rPr>
              <w:t>S</w:t>
            </w:r>
            <w:r>
              <w:rPr>
                <w:rFonts w:hint="eastAsia" w:ascii="宋体" w:hAnsi="宋体" w:cs="宋体"/>
                <w:b/>
                <w:bCs/>
                <w:sz w:val="21"/>
                <w:szCs w:val="21"/>
              </w:rPr>
              <w:t>:5.3</w:t>
            </w:r>
            <w:r>
              <w:rPr>
                <w:rFonts w:hint="eastAsia" w:ascii="宋体" w:hAnsi="宋体" w:cs="宋体"/>
                <w:b/>
                <w:bCs/>
                <w:sz w:val="21"/>
                <w:szCs w:val="21"/>
                <w:lang w:val="en-US" w:eastAsia="zh-CN"/>
              </w:rPr>
              <w:t>/</w:t>
            </w:r>
            <w:r>
              <w:rPr>
                <w:rFonts w:hint="eastAsia" w:ascii="宋体" w:hAnsi="宋体" w:cs="宋体"/>
                <w:b/>
                <w:bCs/>
                <w:sz w:val="21"/>
                <w:szCs w:val="21"/>
              </w:rPr>
              <w:t>6.1.2/6.2/8.1/8.2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与部门负责人</w:t>
            </w:r>
            <w:r>
              <w:rPr>
                <w:rFonts w:hint="eastAsia"/>
              </w:rPr>
              <w:t>谈阳</w:t>
            </w:r>
            <w:r>
              <w:rPr>
                <w:rFonts w:hint="eastAsia"/>
                <w:lang w:val="en-US" w:eastAsia="zh-CN"/>
              </w:rPr>
              <w:t>交流其负责职责主要有：</w:t>
            </w:r>
            <w:r>
              <w:rPr>
                <w:rFonts w:hint="eastAsia" w:asciiTheme="minorEastAsia" w:hAnsiTheme="minorEastAsia" w:eastAsiaTheme="minorEastAsia" w:cstheme="minorEastAsia"/>
                <w:szCs w:val="21"/>
              </w:rPr>
              <w:t xml:space="preserve">  </w:t>
            </w:r>
          </w:p>
          <w:p>
            <w:pPr>
              <w:spacing w:line="28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本部门主要负责</w:t>
            </w:r>
            <w:r>
              <w:rPr>
                <w:rFonts w:hint="eastAsia" w:asciiTheme="minorEastAsia" w:hAnsiTheme="minorEastAsia" w:eastAsiaTheme="minorEastAsia" w:cstheme="minorEastAsia"/>
                <w:szCs w:val="21"/>
                <w:lang w:val="en-US" w:eastAsia="zh-CN"/>
              </w:rPr>
              <w:t>公司的办公用品及环境、职业健康安全所需物资的采购</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2）负责采购合同的评审及与客户的沟通及维护</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3）合格供方调查情况及相关方的管理</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4）部门</w:t>
            </w:r>
            <w:r>
              <w:rPr>
                <w:rFonts w:hint="eastAsia" w:asciiTheme="minorEastAsia" w:hAnsiTheme="minorEastAsia" w:eastAsiaTheme="minorEastAsia" w:cstheme="minorEastAsia"/>
                <w:szCs w:val="21"/>
              </w:rPr>
              <w:t>环境、职业健康安全管理活动的实施与执行</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与负责人沟通，描述的职责和权限与一体化管理体系的职能分配表基本一致。</w:t>
            </w:r>
          </w:p>
          <w:p>
            <w:pPr>
              <w:spacing w:line="280" w:lineRule="exact"/>
              <w:ind w:firstLine="42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szCs w:val="21"/>
              </w:rPr>
              <w:t>目标和方案</w:t>
            </w:r>
          </w:p>
        </w:tc>
        <w:tc>
          <w:tcPr>
            <w:tcW w:w="1269" w:type="dxa"/>
          </w:tcPr>
          <w:p>
            <w:pPr>
              <w:rPr>
                <w:rFonts w:hint="eastAsia"/>
                <w:szCs w:val="21"/>
              </w:rPr>
            </w:pPr>
            <w:r>
              <w:rPr>
                <w:rFonts w:hint="eastAsia"/>
                <w:szCs w:val="21"/>
              </w:rPr>
              <w:t>QES</w:t>
            </w:r>
          </w:p>
          <w:p>
            <w:pPr>
              <w:rPr>
                <w:rFonts w:hint="eastAsia"/>
                <w:szCs w:val="21"/>
              </w:rPr>
            </w:pPr>
            <w:r>
              <w:rPr>
                <w:rFonts w:hint="eastAsia"/>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p>
          <w:p>
            <w:pPr>
              <w:ind w:firstLine="315" w:firstLineChars="150"/>
              <w:rPr>
                <w:rFonts w:hint="eastAsia" w:asciiTheme="minorEastAsia" w:hAnsiTheme="minorEastAsia" w:eastAsiaTheme="minorEastAsia" w:cstheme="minorEastAsia"/>
                <w:szCs w:val="21"/>
              </w:rPr>
            </w:pPr>
            <w:bookmarkStart w:id="0" w:name="_Hlk29206485"/>
            <w:r>
              <w:rPr>
                <w:rFonts w:hint="eastAsia" w:asciiTheme="minorEastAsia" w:hAnsiTheme="minorEastAsia" w:eastAsiaTheme="minorEastAsia" w:cstheme="minorEastAsia"/>
                <w:szCs w:val="21"/>
              </w:rPr>
              <w:t>采购产品合格率100%</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对供方业绩、绩效监测率100%</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固体废弃物100%分类、回收</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杜绝火灾发生</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触电事故为0                         </w:t>
            </w:r>
            <w:bookmarkEnd w:id="0"/>
            <w:r>
              <w:rPr>
                <w:rFonts w:hint="eastAsia" w:asciiTheme="minorEastAsia" w:hAnsiTheme="minorEastAsia" w:eastAsiaTheme="minorEastAsia" w:cstheme="minorEastAsia"/>
                <w:szCs w:val="21"/>
              </w:rPr>
              <w:t xml:space="preserve">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spacing w:line="280" w:lineRule="exact"/>
            </w:pP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21年1-9</w:t>
            </w:r>
            <w:r>
              <w:rPr>
                <w:rFonts w:hint="eastAsia" w:asciiTheme="minorEastAsia" w:hAnsiTheme="minorEastAsia" w:eastAsiaTheme="minorEastAsia" w:cstheme="minorEastAsia"/>
                <w:szCs w:val="21"/>
              </w:rPr>
              <w:t>部门管理目标已全部完成，考核：</w:t>
            </w:r>
            <w:r>
              <w:rPr>
                <w:rFonts w:hint="default"/>
                <w:lang w:val="en-US" w:eastAsia="zh-CN"/>
              </w:rPr>
              <w:t>钱科</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default"/>
                <w:lang w:val="en-US" w:eastAsia="zh-CN"/>
              </w:rPr>
              <w:t>钱科</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default"/>
                <w:lang w:val="en-US" w:eastAsia="zh-CN"/>
              </w:rPr>
              <w:t>钱科</w:t>
            </w:r>
            <w:r>
              <w:rPr>
                <w:rFonts w:hint="eastAsia" w:ascii="宋体" w:hAnsi="宋体"/>
                <w:szCs w:val="21"/>
                <w:lang w:eastAsia="zh-CN"/>
              </w:rPr>
              <w:t xml:space="preserve"> </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rPr>
                <w:szCs w:val="21"/>
              </w:rPr>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年第</w:t>
            </w:r>
            <w:r>
              <w:rPr>
                <w:rFonts w:hint="eastAsia" w:ascii="宋体" w:hAnsi="宋体" w:cs="宋体"/>
                <w:szCs w:val="21"/>
                <w:lang w:val="en-US" w:eastAsia="zh-CN"/>
              </w:rPr>
              <w:t>1-3</w:t>
            </w:r>
            <w:r>
              <w:rPr>
                <w:rFonts w:hint="eastAsia" w:ascii="宋体" w:hAnsi="宋体" w:cs="宋体"/>
                <w:szCs w:val="21"/>
              </w:rPr>
              <w:t>季度进行考核，考核结果：全部达标，检查人：</w:t>
            </w:r>
            <w:r>
              <w:rPr>
                <w:rFonts w:hint="default"/>
                <w:lang w:val="en-US" w:eastAsia="zh-CN"/>
              </w:rPr>
              <w:t>钱科</w:t>
            </w:r>
            <w:r>
              <w:rPr>
                <w:rFonts w:hint="eastAsia" w:ascii="宋体" w:hAnsi="宋体" w:cs="宋体"/>
                <w:szCs w:val="21"/>
                <w:lang w:eastAsia="zh-CN"/>
              </w:rPr>
              <w:t xml:space="preserve">  </w:t>
            </w:r>
            <w:r>
              <w:rPr>
                <w:rFonts w:hint="eastAsia" w:ascii="宋体" w:hAnsi="宋体" w:cs="宋体"/>
                <w:szCs w:val="21"/>
              </w:rPr>
              <w:t xml:space="preserve"> 。制定的指标和管理方案基本可行。</w:t>
            </w:r>
          </w:p>
          <w:p>
            <w:pPr>
              <w:pStyle w:val="2"/>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eastAsia"/>
                <w:szCs w:val="21"/>
              </w:rPr>
            </w:pPr>
            <w:r>
              <w:rPr>
                <w:rFonts w:hint="eastAsia"/>
                <w:szCs w:val="21"/>
              </w:rPr>
              <w:t>ES6.1.2</w:t>
            </w:r>
          </w:p>
          <w:p>
            <w:pPr>
              <w:rPr>
                <w:szCs w:val="21"/>
              </w:rPr>
            </w:pPr>
          </w:p>
        </w:tc>
        <w:tc>
          <w:tcPr>
            <w:tcW w:w="10947" w:type="dxa"/>
            <w:vAlign w:val="center"/>
          </w:tcPr>
          <w:p>
            <w:pPr>
              <w:spacing w:line="394" w:lineRule="exact"/>
              <w:ind w:firstLine="420" w:firstLineChars="200"/>
              <w:rPr>
                <w:rFonts w:hint="eastAsia"/>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评价考虑了三种时态现在、过去、将来、三种状态、异常、正常、紧急考虑了法律法规，并进行了评价，识别</w:t>
            </w:r>
            <w:r>
              <w:rPr>
                <w:rFonts w:hint="eastAsia"/>
                <w:sz w:val="20"/>
                <w:lang w:eastAsia="zh-CN"/>
              </w:rPr>
              <w:t>技术</w:t>
            </w:r>
            <w:r>
              <w:rPr>
                <w:rFonts w:hint="eastAsia"/>
                <w:sz w:val="20"/>
              </w:rPr>
              <w:t>管理</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rFonts w:hint="eastAsia"/>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rPr>
            </w:pP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hint="eastAsia"/>
                <w:bCs w:val="0"/>
                <w:szCs w:val="21"/>
              </w:rPr>
            </w:pPr>
          </w:p>
          <w:p>
            <w:pPr>
              <w:ind w:firstLine="420" w:firstLineChars="200"/>
              <w:rPr>
                <w:szCs w:val="21"/>
              </w:rPr>
            </w:pPr>
            <w:r>
              <w:rPr>
                <w:rFonts w:hint="eastAsia"/>
                <w:szCs w:val="21"/>
              </w:rPr>
              <w:t>执行《危险源识别和评价控制程序》</w:t>
            </w:r>
          </w:p>
          <w:p>
            <w:pPr>
              <w:ind w:firstLine="420" w:firstLineChars="200"/>
              <w:rPr>
                <w:rFonts w:hint="eastAsia"/>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rPr>
                <w:szCs w:val="21"/>
              </w:rPr>
            </w:pPr>
            <w:r>
              <w:rPr>
                <w:rFonts w:hint="eastAsia"/>
                <w:szCs w:val="21"/>
              </w:rPr>
              <w:t>用LEC法对识别的危险源进行评价，本部门不可接受风险火灾、触电</w:t>
            </w:r>
            <w:r>
              <w:rPr>
                <w:rFonts w:hint="eastAsia"/>
                <w:szCs w:val="21"/>
                <w:lang w:eastAsia="zh-CN"/>
              </w:rPr>
              <w:t>、</w:t>
            </w:r>
            <w:r>
              <w:rPr>
                <w:rFonts w:hint="eastAsia"/>
                <w:szCs w:val="21"/>
                <w:lang w:val="en-US" w:eastAsia="zh-CN"/>
              </w:rPr>
              <w:t>意外伤害</w:t>
            </w:r>
            <w:r>
              <w:rPr>
                <w:rFonts w:hint="eastAsia"/>
                <w:szCs w:val="21"/>
              </w:rPr>
              <w:t>评价基本准确。</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1269"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8.4.1</w:t>
            </w:r>
          </w:p>
        </w:tc>
        <w:tc>
          <w:tcPr>
            <w:tcW w:w="10947" w:type="dxa"/>
            <w:vAlign w:val="top"/>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负责人讲，采购部建立合格供方名录，核定《供方评价表》后，编制《合格供方名录》存档。采购人员应该具备相应能力。采购人员应从《合格供方名录》中选择供方。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查《合格供方名单》：主要供应商如下；</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产品类别</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产品名称</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供应商名称</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联系电话</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登记日期</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空间版CPN</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设备版CPN</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CPN扩展模块BM38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CPN扩展模块BM26</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CPN扩展模块BMA8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CPN扩展模块BMD8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设备版CPN</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北京智博盛通科技有限公司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13810062901</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2021.01.04</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CPN扩展模块BM38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北京智博盛通科技有限公司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13810062901</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2021.01.04</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CPN扩展模块BM26</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北京智博盛通科技有限公司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13810062901</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2021.01.04</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CPN扩展模块BMA8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北京智博盛通科技有限公司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13810062901</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2021.01.04</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CPN扩展模块BMD8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北京智博盛通科技有限公司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13810062901</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2021.01.04</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发票打印机</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酷电办公专营店</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4006101360</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2015.5</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打印机</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京东自营官方旗舰店</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950618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2020.7</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电视及支架</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京东自营官方旗舰店</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950618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2020.7</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笔记本电脑</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悦企二手商品专营店</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18902324670</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2020.8</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台式电脑</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北京万博众诚商贸中心</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13718828208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显示器</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小米京东自营旗舰店</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4001005678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2020.8</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家具等</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山东第二树循环家具有限公司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18511162701</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2020.7</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办公用品</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耗材</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京东自营官方旗舰店</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950618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编制：胡洪涛         批准：钱科      日期：2021年01月04日</w:t>
            </w:r>
          </w:p>
          <w:p>
            <w:pPr>
              <w:spacing w:line="400" w:lineRule="exact"/>
              <w:rPr>
                <w:rFonts w:hint="eastAsia" w:ascii="宋体" w:hAnsi="宋体" w:cs="宋体"/>
                <w:color w:val="000000" w:themeColor="text1"/>
                <w:szCs w:val="21"/>
                <w:lang w:val="en-US" w:eastAsia="zh-CN"/>
              </w:rPr>
            </w:pP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被评价方情况</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单位名称</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联系人</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左红英</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电话/传真</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地址</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深圳市龙岗区布吉街道宝丽路96号宝电工业区6号厂房第三层、第五层</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调查内容</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调查记录</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公司管理状况</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管理有序、组织架构完善、工作流程清晰、制度完整</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工艺设备状况</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自动化生产流程及设备、工艺设备先进</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技术水平</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行业多年经验、技术力量雄厚</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供货能力</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有充足的预备存货和补给周期，可如期提供产品服务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售后服务</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拥有完善的售后服务体系以及售后服务人员，提供优质的售前、售后服务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产品价位</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产品性价比高、有较强的竞争力</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质量认证情况</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通过ISO9001等认证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ab/>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评审结果</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企业各方面条件优秀，可以长期合作。</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调查人</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胡洪涛</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调查时间</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2021.01.06</w:t>
            </w:r>
          </w:p>
          <w:p>
            <w:pPr>
              <w:pStyle w:val="2"/>
              <w:rPr>
                <w:rFonts w:ascii="Times New Roman" w:hAnsi="Times New Roman" w:eastAsia="宋体" w:cs="Times New Roman"/>
                <w:bCs/>
                <w:color w:val="FF0000"/>
                <w:spacing w:val="10"/>
                <w:kern w:val="2"/>
                <w:sz w:val="21"/>
                <w:szCs w:val="21"/>
                <w:lang w:val="en-GB" w:eastAsia="zh-CN" w:bidi="ar-SA"/>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hint="eastAsia" w:ascii="宋体" w:hAnsi="宋体" w:eastAsia="宋体" w:cs="Times New Roman"/>
                <w:color w:val="000000" w:themeColor="text1"/>
                <w:kern w:val="2"/>
                <w:sz w:val="21"/>
                <w:szCs w:val="21"/>
                <w:lang w:val="en-US" w:eastAsia="zh-CN" w:bidi="ar-SA"/>
              </w:rPr>
            </w:pPr>
          </w:p>
        </w:tc>
        <w:tc>
          <w:tcPr>
            <w:tcW w:w="1269" w:type="dxa"/>
            <w:vAlign w:val="top"/>
          </w:tcPr>
          <w:p>
            <w:pPr>
              <w:rPr>
                <w:rFonts w:hint="eastAsia" w:ascii="宋体" w:hAnsi="宋体" w:eastAsia="宋体" w:cs="宋体"/>
                <w:b/>
                <w:color w:val="000000" w:themeColor="text1"/>
                <w:kern w:val="2"/>
                <w:sz w:val="21"/>
                <w:szCs w:val="21"/>
                <w:lang w:val="en-US" w:eastAsia="zh-CN" w:bidi="ar-SA"/>
              </w:rPr>
            </w:pPr>
            <w:r>
              <w:rPr>
                <w:rFonts w:hint="eastAsia" w:ascii="宋体" w:hAnsi="宋体" w:cs="宋体"/>
                <w:b/>
                <w:color w:val="000000" w:themeColor="text1"/>
                <w:szCs w:val="21"/>
              </w:rPr>
              <w:t>8.4.2</w:t>
            </w:r>
          </w:p>
        </w:tc>
        <w:tc>
          <w:tcPr>
            <w:tcW w:w="10947" w:type="dxa"/>
            <w:vAlign w:val="top"/>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负责人讲2021年1月以来，未出现采购产品有质量不符合的情况。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、产品质量性证明文件</w:t>
            </w:r>
            <w:r>
              <w:rPr>
                <w:rFonts w:hint="eastAsia" w:ascii="宋体" w:hAnsi="宋体" w:cs="宋体"/>
                <w:color w:val="000000" w:themeColor="text1"/>
                <w:szCs w:val="21"/>
              </w:rPr>
              <w:t>进行了验收。经询问公司采购产品主要根据需求，根据进货检验记录对相关产品的</w:t>
            </w:r>
            <w:r>
              <w:rPr>
                <w:rFonts w:hint="eastAsia" w:ascii="宋体" w:hAnsi="宋体" w:cs="宋体"/>
                <w:color w:val="000000" w:themeColor="text1"/>
                <w:szCs w:val="21"/>
                <w:lang w:val="en-US" w:eastAsia="zh-CN"/>
              </w:rPr>
              <w:t>材质报告、</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、外观</w:t>
            </w:r>
            <w:r>
              <w:rPr>
                <w:rFonts w:hint="eastAsia" w:ascii="宋体" w:hAnsi="宋体" w:cs="宋体"/>
                <w:color w:val="000000" w:themeColor="text1"/>
                <w:szCs w:val="21"/>
              </w:rPr>
              <w:t>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2020年4-2020年9月对空间版CPN、模块、控制箱等进行了进货检验记录。见8.6条款原材料检验记录。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pStyle w:val="2"/>
              <w:rPr>
                <w:rFonts w:ascii="Times New Roman" w:hAnsi="Times New Roman" w:eastAsia="宋体" w:cs="Times New Roman"/>
                <w:bCs/>
                <w:color w:val="FF0000"/>
                <w:spacing w:val="10"/>
                <w:kern w:val="2"/>
                <w:sz w:val="21"/>
                <w:szCs w:val="21"/>
                <w:lang w:val="en-GB" w:eastAsia="zh-CN" w:bidi="ar-SA"/>
              </w:rPr>
            </w:pPr>
            <w:r>
              <w:rPr>
                <w:rFonts w:hint="eastAsia" w:ascii="宋体" w:hAnsi="宋体" w:cs="宋体"/>
                <w:color w:val="000000" w:themeColor="text1"/>
                <w:szCs w:val="21"/>
              </w:rPr>
              <w:t>公司外部供方的管理基本符合要求。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eastAsia="宋体" w:cs="Times New Roman"/>
                <w:kern w:val="2"/>
                <w:sz w:val="21"/>
                <w:szCs w:val="21"/>
                <w:lang w:val="en-US" w:eastAsia="zh-CN" w:bidi="ar-SA"/>
              </w:rPr>
            </w:pPr>
          </w:p>
        </w:tc>
        <w:tc>
          <w:tcPr>
            <w:tcW w:w="1269"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8.4.3</w:t>
            </w:r>
          </w:p>
        </w:tc>
        <w:tc>
          <w:tcPr>
            <w:tcW w:w="10947" w:type="dxa"/>
            <w:vAlign w:val="top"/>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签订采购合同对</w:t>
            </w:r>
            <w:r>
              <w:rPr>
                <w:rFonts w:hint="eastAsia" w:ascii="宋体" w:hAnsi="宋体" w:cs="宋体"/>
                <w:szCs w:val="21"/>
              </w:rPr>
              <w:t>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rPr>
                <w:rFonts w:hint="eastAsia" w:ascii="宋体" w:hAnsi="宋体"/>
                <w:szCs w:val="21"/>
                <w:highlight w:val="none"/>
                <w:lang w:eastAsia="zh-CN"/>
              </w:rPr>
            </w:pPr>
            <w:r>
              <w:rPr>
                <w:rFonts w:hint="eastAsia" w:ascii="宋体" w:hAnsi="宋体"/>
                <w:szCs w:val="21"/>
                <w:highlight w:val="none"/>
              </w:rPr>
              <w:t>查</w:t>
            </w:r>
            <w:r>
              <w:rPr>
                <w:rFonts w:hint="eastAsia" w:ascii="宋体" w:hAnsi="宋体"/>
                <w:szCs w:val="21"/>
                <w:highlight w:val="none"/>
                <w:lang w:eastAsia="zh-CN"/>
              </w:rPr>
              <w:t>采购合同、订单等</w:t>
            </w:r>
          </w:p>
          <w:p>
            <w:pPr>
              <w:numPr>
                <w:ilvl w:val="0"/>
                <w:numId w:val="1"/>
              </w:numPr>
              <w:spacing w:line="360" w:lineRule="auto"/>
              <w:rPr>
                <w:rFonts w:hint="eastAsia" w:ascii="宋体" w:hAnsi="宋体"/>
                <w:szCs w:val="21"/>
                <w:highlight w:val="none"/>
                <w:lang w:val="en-US" w:eastAsia="zh-CN"/>
              </w:rPr>
            </w:pPr>
            <w:r>
              <w:rPr>
                <w:rFonts w:hint="eastAsia" w:ascii="宋体" w:hAnsi="宋体"/>
                <w:szCs w:val="21"/>
                <w:highlight w:val="none"/>
              </w:rPr>
              <w:t>供方：北京智博盛通科技有限公司</w:t>
            </w:r>
            <w:r>
              <w:rPr>
                <w:rFonts w:hint="eastAsia" w:ascii="宋体" w:hAnsi="宋体"/>
                <w:szCs w:val="21"/>
                <w:highlight w:val="none"/>
              </w:rPr>
              <w:tab/>
            </w:r>
            <w:r>
              <w:rPr>
                <w:rFonts w:hint="eastAsia" w:ascii="宋体" w:hAnsi="宋体"/>
                <w:szCs w:val="21"/>
                <w:highlight w:val="none"/>
                <w:lang w:val="en-US" w:eastAsia="zh-CN"/>
              </w:rPr>
              <w:t>下单日期：2021.4.12</w:t>
            </w:r>
          </w:p>
          <w:p>
            <w:pPr>
              <w:spacing w:line="360" w:lineRule="auto"/>
              <w:ind w:firstLine="840" w:firstLineChars="400"/>
              <w:jc w:val="left"/>
              <w:rPr>
                <w:rFonts w:hint="eastAsia"/>
                <w:lang w:val="en-US" w:eastAsia="zh-CN"/>
              </w:rPr>
            </w:pPr>
            <w:r>
              <w:rPr>
                <w:rFonts w:hint="eastAsia"/>
                <w:lang w:val="en-US" w:eastAsia="zh-CN"/>
              </w:rPr>
              <w:t>采购明细如下：</w:t>
            </w:r>
          </w:p>
          <w:p>
            <w:pPr>
              <w:pStyle w:val="2"/>
              <w:rPr>
                <w:rFonts w:hint="default"/>
                <w:lang w:val="en-US" w:eastAsia="zh-CN"/>
              </w:rPr>
            </w:pPr>
            <w:r>
              <w:drawing>
                <wp:inline distT="0" distB="0" distL="114300" distR="114300">
                  <wp:extent cx="6807835" cy="2110105"/>
                  <wp:effectExtent l="0" t="0" r="1206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6807835" cy="2110105"/>
                          </a:xfrm>
                          <a:prstGeom prst="rect">
                            <a:avLst/>
                          </a:prstGeom>
                          <a:noFill/>
                          <a:ln>
                            <a:noFill/>
                          </a:ln>
                        </pic:spPr>
                      </pic:pic>
                    </a:graphicData>
                  </a:graphic>
                </wp:inline>
              </w:drawing>
            </w:r>
            <w:r>
              <w:drawing>
                <wp:inline distT="0" distB="0" distL="114300" distR="114300">
                  <wp:extent cx="6814185" cy="2203450"/>
                  <wp:effectExtent l="0" t="0" r="5715"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814185" cy="2203450"/>
                          </a:xfrm>
                          <a:prstGeom prst="rect">
                            <a:avLst/>
                          </a:prstGeom>
                          <a:noFill/>
                          <a:ln>
                            <a:noFill/>
                          </a:ln>
                        </pic:spPr>
                      </pic:pic>
                    </a:graphicData>
                  </a:graphic>
                </wp:inline>
              </w:drawing>
            </w:r>
          </w:p>
          <w:p>
            <w:pPr>
              <w:pStyle w:val="2"/>
              <w:rPr>
                <w:rFonts w:hint="eastAsia"/>
                <w:lang w:val="en-US" w:eastAsia="zh-CN"/>
              </w:rPr>
            </w:pPr>
          </w:p>
          <w:p>
            <w:pPr>
              <w:spacing w:line="360" w:lineRule="auto"/>
              <w:ind w:firstLine="840" w:firstLineChars="400"/>
              <w:rPr>
                <w:rFonts w:hint="default"/>
                <w:lang w:val="en-US" w:eastAsia="zh-CN"/>
              </w:rPr>
            </w:pPr>
            <w:r>
              <w:rPr>
                <w:rFonts w:hint="eastAsia"/>
                <w:lang w:val="en-US" w:eastAsia="zh-CN"/>
              </w:rPr>
              <w:t>采购订单明确了采购</w:t>
            </w:r>
            <w:r>
              <w:rPr>
                <w:rFonts w:hint="eastAsia" w:ascii="宋体" w:hAnsi="宋体"/>
                <w:szCs w:val="21"/>
                <w:highlight w:val="none"/>
                <w:lang w:val="en-US" w:eastAsia="zh-CN"/>
              </w:rPr>
              <w:t>产品名称，</w:t>
            </w:r>
            <w:r>
              <w:rPr>
                <w:rFonts w:hint="eastAsia"/>
                <w:lang w:val="en-US" w:eastAsia="zh-CN"/>
              </w:rPr>
              <w:t>产品的数量（见上图），交（提）货时间，质量标准、货物数量以实际收货数量为准等。合同均加盖双方公章</w:t>
            </w:r>
            <w:bookmarkStart w:id="1" w:name="_GoBack"/>
            <w:bookmarkEnd w:id="1"/>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eastAsia="宋体" w:cs="宋体"/>
                <w:kern w:val="2"/>
                <w:sz w:val="21"/>
                <w:szCs w:val="21"/>
                <w:lang w:val="en-GB" w:eastAsia="zh-CN" w:bidi="ar-SA"/>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r>
              <w:rPr>
                <w:rFonts w:hint="eastAsia"/>
              </w:rPr>
              <w:t>1、公司制定并执行“环境及职业健康安全运行控制程序”、“环境管理制度”、“安全检查制度”、“能源消耗考核管理制度”等。</w:t>
            </w:r>
          </w:p>
          <w:p>
            <w:pPr>
              <w:rPr>
                <w:rFonts w:hint="eastAsia"/>
              </w:rPr>
            </w:pPr>
            <w:r>
              <w:rPr>
                <w:rFonts w:hint="eastAsia"/>
              </w:rPr>
              <w:t>2、废水</w:t>
            </w:r>
          </w:p>
          <w:p>
            <w:pPr>
              <w:rPr>
                <w:rFonts w:hint="eastAsia" w:ascii="宋体" w:hAnsi="宋体"/>
                <w:b w:val="0"/>
                <w:bCs w:val="0"/>
                <w:szCs w:val="21"/>
              </w:rPr>
            </w:pP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不产生废水，办公用水最后排入市政管网。</w:t>
            </w:r>
          </w:p>
          <w:p>
            <w:pPr>
              <w:pStyle w:val="2"/>
              <w:rPr>
                <w:rFonts w:hint="eastAsia" w:ascii="宋体" w:hAnsi="宋体"/>
                <w:b w:val="0"/>
                <w:bCs w:val="0"/>
              </w:rPr>
            </w:pPr>
            <w:r>
              <w:rPr>
                <w:rFonts w:hint="eastAsia" w:ascii="宋体" w:hAnsi="宋体"/>
                <w:b w:val="0"/>
                <w:bCs w:val="0"/>
              </w:rPr>
              <w:t>3、废气</w:t>
            </w:r>
          </w:p>
          <w:p>
            <w:pPr>
              <w:rPr>
                <w:rFonts w:hint="eastAsia" w:ascii="宋体" w:hAnsi="宋体"/>
                <w:b w:val="0"/>
                <w:bCs w:val="0"/>
                <w:szCs w:val="21"/>
              </w:rPr>
            </w:pPr>
            <w:r>
              <w:rPr>
                <w:rFonts w:hint="eastAsia" w:ascii="宋体" w:hAnsi="宋体"/>
                <w:b w:val="0"/>
                <w:bCs w:val="0"/>
                <w:szCs w:val="21"/>
                <w:lang w:val="en-US" w:eastAsia="zh-CN"/>
              </w:rPr>
              <w:t>业务</w:t>
            </w:r>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2"/>
              <w:numPr>
                <w:ilvl w:val="0"/>
                <w:numId w:val="2"/>
              </w:numPr>
              <w:rPr>
                <w:rFonts w:hint="eastAsia" w:ascii="宋体" w:hAnsi="宋体"/>
                <w:b w:val="0"/>
                <w:bCs w:val="0"/>
              </w:rPr>
            </w:pPr>
            <w:r>
              <w:rPr>
                <w:rFonts w:hint="eastAsia" w:ascii="宋体" w:hAnsi="宋体"/>
                <w:b w:val="0"/>
                <w:bCs w:val="0"/>
              </w:rPr>
              <w:t>固废</w:t>
            </w:r>
          </w:p>
          <w:p>
            <w:pPr>
              <w:rPr>
                <w:rFonts w:hint="eastAsia" w:ascii="宋体" w:hAnsi="宋体"/>
                <w:b w:val="0"/>
                <w:bCs w:val="0"/>
                <w:szCs w:val="21"/>
              </w:rPr>
            </w:pPr>
            <w:r>
              <w:rPr>
                <w:rFonts w:hint="eastAsia" w:ascii="宋体" w:hAnsi="宋体"/>
                <w:b w:val="0"/>
                <w:bCs w:val="0"/>
                <w:szCs w:val="21"/>
                <w:lang w:val="en-US" w:eastAsia="zh-CN"/>
              </w:rPr>
              <w:t>办公</w:t>
            </w:r>
            <w:r>
              <w:rPr>
                <w:rFonts w:hint="eastAsia" w:ascii="宋体" w:hAnsi="宋体"/>
                <w:b w:val="0"/>
                <w:bCs w:val="0"/>
              </w:rPr>
              <w:t>过程中会产生废气的纸屑、果皮等垃圾，统一交环卫进行收集处理。</w:t>
            </w:r>
          </w:p>
          <w:p>
            <w:pPr>
              <w:pStyle w:val="2"/>
              <w:rPr>
                <w:rFonts w:hint="eastAsia" w:ascii="宋体" w:hAnsi="宋体"/>
                <w:b w:val="0"/>
                <w:bCs w:val="0"/>
              </w:rPr>
            </w:pPr>
            <w:r>
              <w:rPr>
                <w:rFonts w:hint="eastAsia" w:ascii="宋体" w:hAnsi="宋体"/>
                <w:b w:val="0"/>
                <w:bCs w:val="0"/>
              </w:rPr>
              <w:t>办公墨盒、电池等由厂家回收</w:t>
            </w:r>
          </w:p>
          <w:p>
            <w:pPr>
              <w:numPr>
                <w:ilvl w:val="0"/>
                <w:numId w:val="2"/>
              </w:numPr>
              <w:rPr>
                <w:rFonts w:hint="eastAsia" w:cs="Lucida Sans"/>
                <w:bCs/>
              </w:rPr>
            </w:pPr>
            <w:r>
              <w:rPr>
                <w:rFonts w:hint="eastAsia" w:cs="Lucida Sans"/>
                <w:bCs/>
              </w:rPr>
              <w:t>能资源管理：公司规定人走灯灭，人走关水等节能节水措施，并互相监督</w:t>
            </w:r>
          </w:p>
          <w:p>
            <w:pPr>
              <w:rPr>
                <w:rFonts w:hint="eastAsia"/>
              </w:rPr>
            </w:pPr>
            <w:r>
              <w:rPr>
                <w:rFonts w:hint="eastAsia"/>
              </w:rPr>
              <w:t>6、办公区域:，现场查看办公区域环境整洁、宽敞、办公设备状态良好、</w:t>
            </w:r>
          </w:p>
          <w:p>
            <w:r>
              <w:rPr>
                <w:rFonts w:hint="eastAsia"/>
              </w:rPr>
              <w:t>7、工作时间平均每天不超过8小时。</w:t>
            </w:r>
          </w:p>
          <w:p>
            <w:pPr>
              <w:rPr>
                <w:rFonts w:hint="eastAsia"/>
              </w:rPr>
            </w:pPr>
            <w:r>
              <w:rPr>
                <w:rFonts w:hint="eastAsia"/>
              </w:rPr>
              <w:t>8、现场查看办公区域，整洁、光线充足、室内空气良好、配置有空调，办公条件较好，办公设备安全状态良好，教育员工正确使用办公设备，现场用电基本规范，无乱拉线现象，防止火灾发生。</w:t>
            </w:r>
          </w:p>
          <w:p>
            <w:pPr>
              <w:rPr>
                <w:rFonts w:hint="eastAsia"/>
              </w:rPr>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color w:val="auto"/>
                <w:szCs w:val="21"/>
              </w:rPr>
            </w:pPr>
            <w:r>
              <w:rPr>
                <w:rFonts w:hint="eastAsia"/>
                <w:color w:val="auto"/>
                <w:szCs w:val="21"/>
              </w:rPr>
              <w:t>运行符合要求</w:t>
            </w:r>
          </w:p>
          <w:p>
            <w:pPr>
              <w:pStyle w:val="2"/>
              <w:ind w:firstLine="460" w:firstLineChars="20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7A0A8"/>
    <w:multiLevelType w:val="singleLevel"/>
    <w:tmpl w:val="E587A0A8"/>
    <w:lvl w:ilvl="0" w:tentative="0">
      <w:start w:val="1"/>
      <w:numFmt w:val="decimal"/>
      <w:lvlText w:val="%1."/>
      <w:lvlJc w:val="left"/>
      <w:pPr>
        <w:tabs>
          <w:tab w:val="left" w:pos="312"/>
        </w:tabs>
      </w:pPr>
    </w:lvl>
  </w:abstractNum>
  <w:abstractNum w:abstractNumId="1">
    <w:nsid w:val="0376CA43"/>
    <w:multiLevelType w:val="singleLevel"/>
    <w:tmpl w:val="0376CA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2160"/>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536930"/>
    <w:rsid w:val="005530B6"/>
    <w:rsid w:val="00564E53"/>
    <w:rsid w:val="005D26B9"/>
    <w:rsid w:val="00602AB8"/>
    <w:rsid w:val="00614203"/>
    <w:rsid w:val="00644FE2"/>
    <w:rsid w:val="0067640C"/>
    <w:rsid w:val="006E678B"/>
    <w:rsid w:val="007757F3"/>
    <w:rsid w:val="007E6AEB"/>
    <w:rsid w:val="008066E8"/>
    <w:rsid w:val="008973EE"/>
    <w:rsid w:val="009634A8"/>
    <w:rsid w:val="00971600"/>
    <w:rsid w:val="009973B4"/>
    <w:rsid w:val="009C28C1"/>
    <w:rsid w:val="009F7EED"/>
    <w:rsid w:val="00AA19B1"/>
    <w:rsid w:val="00AF0AAB"/>
    <w:rsid w:val="00B50ED1"/>
    <w:rsid w:val="00BF597E"/>
    <w:rsid w:val="00C51A36"/>
    <w:rsid w:val="00C55228"/>
    <w:rsid w:val="00CE315A"/>
    <w:rsid w:val="00D06F59"/>
    <w:rsid w:val="00D8388C"/>
    <w:rsid w:val="00E078A4"/>
    <w:rsid w:val="00EB0164"/>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3807A6"/>
    <w:rsid w:val="1ED24569"/>
    <w:rsid w:val="1EED3319"/>
    <w:rsid w:val="1EF17CF7"/>
    <w:rsid w:val="1F310F57"/>
    <w:rsid w:val="205D5AFA"/>
    <w:rsid w:val="20AA6AAB"/>
    <w:rsid w:val="20E91694"/>
    <w:rsid w:val="20F04213"/>
    <w:rsid w:val="20F75AF0"/>
    <w:rsid w:val="21171A1C"/>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B61714B"/>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924935"/>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5FAC6A84"/>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902</Words>
  <Characters>5145</Characters>
  <Lines>42</Lines>
  <Paragraphs>12</Paragraphs>
  <TotalTime>1</TotalTime>
  <ScaleCrop>false</ScaleCrop>
  <LinksUpToDate>false</LinksUpToDate>
  <CharactersWithSpaces>6035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2021-10-20T01:11:25Z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F6B834110EC04853B698A011153DD935</vt:lpwstr>
  </property>
</Properties>
</file>