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0485-2020-E-2021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任丘市斯迈尔电力器材有限公司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任丘市斯迈尔电力器材有限公司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任丘市梁召镇南芦村</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任丘市梁召镇南芦村</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高永超</w:t>
            </w:r>
            <w:bookmarkEnd w:id="10"/>
          </w:p>
        </w:tc>
        <w:tc>
          <w:tcPr>
            <w:tcW w:w="1313" w:type="dxa"/>
            <w:vAlign w:val="center"/>
          </w:tcPr>
          <w:p>
            <w:r>
              <w:rPr>
                <w:rFonts w:hint="eastAsia"/>
              </w:rPr>
              <w:t>电话</w:t>
            </w:r>
          </w:p>
        </w:tc>
        <w:tc>
          <w:tcPr>
            <w:tcW w:w="2180" w:type="dxa"/>
            <w:vAlign w:val="center"/>
          </w:tcPr>
          <w:p>
            <w:bookmarkStart w:id="11" w:name="联系人电话"/>
            <w:r>
              <w:t>13463711565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高永超</w:t>
            </w:r>
            <w:bookmarkEnd w:id="13"/>
          </w:p>
        </w:tc>
        <w:tc>
          <w:tcPr>
            <w:tcW w:w="1313" w:type="dxa"/>
            <w:vAlign w:val="center"/>
          </w:tcPr>
          <w:p>
            <w:r>
              <w:rPr>
                <w:rFonts w:hint="eastAsia"/>
              </w:rPr>
              <w:t>管理者代表</w:t>
            </w:r>
          </w:p>
        </w:tc>
        <w:tc>
          <w:tcPr>
            <w:tcW w:w="2180" w:type="dxa"/>
          </w:tcPr>
          <w:p>
            <w:bookmarkStart w:id="14" w:name="管理者代表"/>
            <w:r>
              <w:t>高永旺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pPr>
              <w:rPr>
                <w:rFonts w:hint="eastAsia"/>
              </w:rPr>
            </w:pPr>
          </w:p>
          <w:p>
            <w:r>
              <w:rPr>
                <w:rFonts w:hint="eastAsia"/>
              </w:rPr>
              <w:t>生产/服务提供流程简图</w:t>
            </w:r>
          </w:p>
          <w:p/>
          <w:p/>
        </w:tc>
        <w:tc>
          <w:tcPr>
            <w:tcW w:w="8058" w:type="dxa"/>
            <w:gridSpan w:val="5"/>
            <w:shd w:val="clear" w:color="auto" w:fill="auto"/>
          </w:tcPr>
          <w:p>
            <w:pPr>
              <w:tabs>
                <w:tab w:val="right" w:pos="9322"/>
              </w:tabs>
              <w:rPr>
                <w:rFonts w:hint="eastAsia" w:ascii="宋体" w:hAnsi="宋体" w:cs="宋体"/>
                <w:sz w:val="32"/>
              </w:rPr>
            </w:pPr>
            <w:r>
              <w:rPr>
                <w:rFonts w:hint="eastAsia" w:ascii="宋体" w:hAnsi="宋体"/>
              </w:rPr>
              <w:t>接到订单-评审-签合同-采购-进货(检验)-销售（包括运输送货）-客户签收-满意度调查</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2021年10月06日 上午至2021年10月06日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低压成套开关设备和电缆桥架的销售及其所涉及场所的相关环境管理活动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ind w:firstLine="420" w:firstLineChars="200"/>
              <w:rPr>
                <w:rFonts w:hint="eastAsia"/>
              </w:rPr>
            </w:pPr>
            <w:r>
              <w:rPr>
                <w:rFonts w:hint="eastAsia"/>
                <w:lang w:val="en-US" w:eastAsia="zh-CN"/>
              </w:rPr>
              <w:t xml:space="preserve">2020 </w:t>
            </w:r>
            <w:r>
              <w:rPr>
                <w:rFonts w:hint="eastAsia"/>
              </w:rPr>
              <w:t>年</w:t>
            </w:r>
            <w:r>
              <w:rPr>
                <w:rFonts w:hint="eastAsia"/>
                <w:lang w:val="en-US" w:eastAsia="zh-CN"/>
              </w:rPr>
              <w:t xml:space="preserve"> 5  </w:t>
            </w:r>
            <w:r>
              <w:rPr>
                <w:rFonts w:hint="eastAsia"/>
              </w:rPr>
              <w:t>月</w:t>
            </w:r>
            <w:r>
              <w:rPr>
                <w:rFonts w:hint="eastAsia"/>
                <w:lang w:val="en-US" w:eastAsia="zh-CN"/>
              </w:rPr>
              <w:t xml:space="preserve"> 1</w:t>
            </w:r>
            <w:r>
              <w:rPr>
                <w:rFonts w:hint="eastAsia"/>
              </w:rPr>
              <w:t>日</w:t>
            </w:r>
          </w:p>
          <w:p/>
        </w:tc>
        <w:tc>
          <w:tcPr>
            <w:tcW w:w="1883" w:type="dxa"/>
            <w:vAlign w:val="center"/>
          </w:tcPr>
          <w:p>
            <w:r>
              <w:rPr>
                <w:rFonts w:hint="eastAsia"/>
              </w:rPr>
              <w:t>管理体系运行已超过3个月</w:t>
            </w:r>
          </w:p>
        </w:tc>
        <w:tc>
          <w:tcPr>
            <w:tcW w:w="3215" w:type="dxa"/>
            <w:vAlign w:val="center"/>
          </w:tcPr>
          <w:p>
            <w:pPr>
              <w:ind w:firstLine="420" w:firstLineChars="200"/>
            </w:pPr>
            <w:r>
              <w:rPr>
                <w:rFonts w:hint="eastAsia"/>
              </w:rPr>
              <w:sym w:font="Wingdings 2" w:char="0052"/>
            </w:r>
            <w:r>
              <w:rPr>
                <w:rFonts w:hint="eastAsia"/>
              </w:rPr>
              <w:t>是</w:t>
            </w:r>
            <w:r>
              <w:rPr>
                <w:rFonts w:hint="eastAsia"/>
                <w:lang w:val="en-US" w:eastAsia="zh-CN"/>
              </w:rPr>
              <w:t xml:space="preserve">     </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ind w:firstLine="420" w:firstLineChars="200"/>
            </w:pPr>
            <w:r>
              <w:rPr>
                <w:rFonts w:hint="eastAsia"/>
                <w:lang w:val="en-US" w:eastAsia="zh-CN"/>
              </w:rPr>
              <w:t xml:space="preserve">2020 </w:t>
            </w:r>
            <w:r>
              <w:rPr>
                <w:rFonts w:hint="eastAsia"/>
              </w:rPr>
              <w:t>年</w:t>
            </w:r>
            <w:r>
              <w:rPr>
                <w:rFonts w:hint="eastAsia"/>
                <w:lang w:val="en-US" w:eastAsia="zh-CN"/>
              </w:rPr>
              <w:t xml:space="preserve"> 10 </w:t>
            </w:r>
            <w:r>
              <w:rPr>
                <w:rFonts w:hint="eastAsia"/>
              </w:rPr>
              <w:t>月</w:t>
            </w:r>
            <w:r>
              <w:rPr>
                <w:rFonts w:hint="eastAsia"/>
                <w:lang w:val="en-US" w:eastAsia="zh-CN"/>
              </w:rPr>
              <w:t xml:space="preserve">9  </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ind w:firstLine="210" w:firstLineChars="100"/>
            </w:pPr>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59"/>
        <w:gridCol w:w="480"/>
        <w:gridCol w:w="2350"/>
        <w:gridCol w:w="18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59" w:type="dxa"/>
            <w:shd w:val="clear" w:color="auto" w:fill="F3F3F3"/>
            <w:tcMar>
              <w:left w:w="57" w:type="dxa"/>
              <w:right w:w="57" w:type="dxa"/>
            </w:tcMar>
          </w:tcPr>
          <w:p>
            <w:r>
              <w:rPr>
                <w:rFonts w:hint="eastAsia"/>
              </w:rPr>
              <w:t>经营场所的地址</w:t>
            </w:r>
          </w:p>
          <w:p>
            <w:r>
              <w:rPr>
                <w:rFonts w:hint="eastAsia"/>
              </w:rPr>
              <w:t>（多现场和临时现场）</w:t>
            </w:r>
          </w:p>
        </w:tc>
        <w:tc>
          <w:tcPr>
            <w:tcW w:w="480" w:type="dxa"/>
            <w:shd w:val="clear" w:color="auto" w:fill="F3F3F3"/>
            <w:tcMar>
              <w:left w:w="57" w:type="dxa"/>
              <w:right w:w="57" w:type="dxa"/>
            </w:tcMar>
          </w:tcPr>
          <w:p>
            <w:r>
              <w:rPr>
                <w:rFonts w:hint="eastAsia"/>
              </w:rPr>
              <w:t>员工人数</w:t>
            </w:r>
          </w:p>
        </w:tc>
        <w:tc>
          <w:tcPr>
            <w:tcW w:w="2350" w:type="dxa"/>
            <w:shd w:val="clear" w:color="auto" w:fill="F3F3F3"/>
            <w:tcMar>
              <w:left w:w="57" w:type="dxa"/>
              <w:right w:w="57" w:type="dxa"/>
            </w:tcMar>
          </w:tcPr>
          <w:p>
            <w:r>
              <w:rPr>
                <w:rFonts w:hint="eastAsia"/>
              </w:rPr>
              <w:t>审核范围（产品和过程）</w:t>
            </w:r>
          </w:p>
          <w:p/>
          <w:p/>
        </w:tc>
        <w:tc>
          <w:tcPr>
            <w:tcW w:w="18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en-US" w:eastAsia="zh-CN"/>
              </w:rPr>
            </w:pPr>
            <w:r>
              <w:t>任丘市斯迈尔电力器材有限公司</w:t>
            </w:r>
            <w:r>
              <w:rPr>
                <w:rFonts w:hint="eastAsia"/>
                <w:lang w:val="en-US" w:eastAsia="zh-CN"/>
              </w:rPr>
              <w:t xml:space="preserve">  </w:t>
            </w:r>
          </w:p>
          <w:p>
            <w:pPr>
              <w:rPr>
                <w:rFonts w:hint="default" w:eastAsia="宋体"/>
                <w:lang w:val="en-US" w:eastAsia="zh-CN"/>
              </w:rPr>
            </w:pPr>
            <w:r>
              <w:t>任丘市梁召镇南芦村</w:t>
            </w:r>
          </w:p>
        </w:tc>
        <w:tc>
          <w:tcPr>
            <w:tcW w:w="1659" w:type="dxa"/>
          </w:tcPr>
          <w:p>
            <w:pPr>
              <w:rPr>
                <w:lang w:val="de-DE" w:eastAsia="ja-JP"/>
              </w:rPr>
            </w:pPr>
            <w:r>
              <w:t>任丘市梁召镇南芦村</w:t>
            </w:r>
          </w:p>
        </w:tc>
        <w:tc>
          <w:tcPr>
            <w:tcW w:w="480" w:type="dxa"/>
            <w:vAlign w:val="center"/>
          </w:tcPr>
          <w:p>
            <w:pPr>
              <w:rPr>
                <w:rFonts w:hint="default" w:eastAsia="宋体"/>
                <w:lang w:val="en-US" w:eastAsia="zh-CN"/>
              </w:rPr>
            </w:pPr>
            <w:r>
              <w:rPr>
                <w:rFonts w:hint="eastAsia"/>
                <w:lang w:val="en-US" w:eastAsia="zh-CN"/>
              </w:rPr>
              <w:t>15</w:t>
            </w:r>
          </w:p>
        </w:tc>
        <w:tc>
          <w:tcPr>
            <w:tcW w:w="2350" w:type="dxa"/>
            <w:vAlign w:val="center"/>
          </w:tcPr>
          <w:p>
            <w:pPr>
              <w:rPr>
                <w:rFonts w:ascii="Times New Roman" w:hAnsi="Times New Roman" w:eastAsia="宋体" w:cs="Times New Roman"/>
                <w:kern w:val="2"/>
                <w:sz w:val="21"/>
                <w:szCs w:val="24"/>
                <w:lang w:val="en-US" w:eastAsia="ja-JP" w:bidi="ar-SA"/>
              </w:rPr>
            </w:pPr>
            <w:r>
              <w:t>低压成套开关设备和电缆桥架的销售及其所涉及场所的相关环境管理活动</w:t>
            </w:r>
          </w:p>
        </w:tc>
        <w:tc>
          <w:tcPr>
            <w:tcW w:w="1821"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659" w:type="dxa"/>
            <w:vAlign w:val="center"/>
          </w:tcPr>
          <w:p>
            <w:pPr>
              <w:rPr>
                <w:lang w:eastAsia="ja-JP"/>
              </w:rPr>
            </w:pPr>
          </w:p>
        </w:tc>
        <w:tc>
          <w:tcPr>
            <w:tcW w:w="480" w:type="dxa"/>
            <w:vAlign w:val="center"/>
          </w:tcPr>
          <w:p>
            <w:pPr>
              <w:rPr>
                <w:lang w:eastAsia="ja-JP"/>
              </w:rPr>
            </w:pPr>
          </w:p>
        </w:tc>
        <w:tc>
          <w:tcPr>
            <w:tcW w:w="2350" w:type="dxa"/>
            <w:vAlign w:val="center"/>
          </w:tcPr>
          <w:p>
            <w:pPr>
              <w:rPr>
                <w:lang w:eastAsia="ja-JP"/>
              </w:rPr>
            </w:pPr>
          </w:p>
        </w:tc>
        <w:tc>
          <w:tcPr>
            <w:tcW w:w="18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659" w:type="dxa"/>
            <w:vAlign w:val="center"/>
          </w:tcPr>
          <w:p>
            <w:pPr>
              <w:rPr>
                <w:lang w:eastAsia="ja-JP"/>
              </w:rPr>
            </w:pPr>
          </w:p>
        </w:tc>
        <w:tc>
          <w:tcPr>
            <w:tcW w:w="480" w:type="dxa"/>
            <w:vAlign w:val="center"/>
          </w:tcPr>
          <w:p>
            <w:pPr>
              <w:rPr>
                <w:lang w:eastAsia="ja-JP"/>
              </w:rPr>
            </w:pPr>
          </w:p>
        </w:tc>
        <w:tc>
          <w:tcPr>
            <w:tcW w:w="2350" w:type="dxa"/>
            <w:vAlign w:val="center"/>
          </w:tcPr>
          <w:p>
            <w:pPr>
              <w:rPr>
                <w:lang w:eastAsia="ja-JP"/>
              </w:rPr>
            </w:pPr>
          </w:p>
        </w:tc>
        <w:tc>
          <w:tcPr>
            <w:tcW w:w="18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59" w:type="dxa"/>
            <w:vAlign w:val="center"/>
          </w:tcPr>
          <w:p>
            <w:pPr>
              <w:rPr>
                <w:lang w:eastAsia="ja-JP"/>
              </w:rPr>
            </w:pPr>
          </w:p>
        </w:tc>
        <w:tc>
          <w:tcPr>
            <w:tcW w:w="480" w:type="dxa"/>
            <w:vAlign w:val="center"/>
          </w:tcPr>
          <w:p>
            <w:pPr>
              <w:rPr>
                <w:lang w:eastAsia="ja-JP"/>
              </w:rPr>
            </w:pPr>
          </w:p>
        </w:tc>
        <w:tc>
          <w:tcPr>
            <w:tcW w:w="2350" w:type="dxa"/>
            <w:vAlign w:val="center"/>
          </w:tcPr>
          <w:p>
            <w:pPr>
              <w:rPr>
                <w:lang w:eastAsia="ja-JP"/>
              </w:rPr>
            </w:pPr>
          </w:p>
        </w:tc>
        <w:tc>
          <w:tcPr>
            <w:tcW w:w="18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59" w:type="dxa"/>
            <w:vAlign w:val="center"/>
          </w:tcPr>
          <w:p>
            <w:pPr>
              <w:rPr>
                <w:lang w:eastAsia="ja-JP"/>
              </w:rPr>
            </w:pPr>
          </w:p>
        </w:tc>
        <w:tc>
          <w:tcPr>
            <w:tcW w:w="480" w:type="dxa"/>
            <w:vAlign w:val="center"/>
          </w:tcPr>
          <w:p>
            <w:pPr>
              <w:rPr>
                <w:lang w:eastAsia="ja-JP"/>
              </w:rPr>
            </w:pPr>
          </w:p>
        </w:tc>
        <w:tc>
          <w:tcPr>
            <w:tcW w:w="2350" w:type="dxa"/>
            <w:vAlign w:val="center"/>
          </w:tcPr>
          <w:p>
            <w:pPr>
              <w:rPr>
                <w:lang w:eastAsia="ja-JP"/>
              </w:rPr>
            </w:pPr>
          </w:p>
        </w:tc>
        <w:tc>
          <w:tcPr>
            <w:tcW w:w="182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left="210" w:leftChars="100" w:firstLine="210" w:firstLineChars="100"/>
      </w:pPr>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w:t>
      </w:r>
      <w:r>
        <w:rPr>
          <w:rFonts w:hint="eastAsia"/>
          <w:lang w:val="en-US" w:eastAsia="zh-CN"/>
        </w:rPr>
        <w:t>1</w:t>
      </w:r>
      <w:r>
        <w:rPr>
          <w:rFonts w:hint="eastAsia"/>
        </w:rPr>
        <w:t>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exact"/>
          <w:jc w:val="center"/>
        </w:trPr>
        <w:tc>
          <w:tcPr>
            <w:tcW w:w="1842" w:type="dxa"/>
          </w:tcPr>
          <w:p>
            <w:r>
              <w:rPr>
                <w:rFonts w:hint="eastAsia"/>
              </w:rPr>
              <w:t>审核组长签字</w:t>
            </w:r>
          </w:p>
        </w:tc>
        <w:tc>
          <w:tcPr>
            <w:tcW w:w="2764" w:type="dxa"/>
            <w:tcMar>
              <w:left w:w="113" w:type="dxa"/>
            </w:tcMar>
          </w:tcPr>
          <w:p>
            <w:r>
              <w:rPr>
                <w:rFonts w:hint="default" w:eastAsia="宋体"/>
                <w:sz w:val="21"/>
                <w:szCs w:val="21"/>
                <w:lang w:val="en-US" w:eastAsia="zh-CN"/>
              </w:rPr>
              <w:drawing>
                <wp:inline distT="0" distB="0" distL="114300" distR="114300">
                  <wp:extent cx="984885" cy="189230"/>
                  <wp:effectExtent l="0" t="0" r="5715" b="127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6"/>
                          <a:stretch>
                            <a:fillRect/>
                          </a:stretch>
                        </pic:blipFill>
                        <pic:spPr>
                          <a:xfrm>
                            <a:off x="0" y="0"/>
                            <a:ext cx="984885" cy="189230"/>
                          </a:xfrm>
                          <a:prstGeom prst="rect">
                            <a:avLst/>
                          </a:prstGeom>
                        </pic:spPr>
                      </pic:pic>
                    </a:graphicData>
                  </a:graphic>
                </wp:inline>
              </w:drawing>
            </w:r>
          </w:p>
          <w:p/>
        </w:tc>
        <w:tc>
          <w:tcPr>
            <w:tcW w:w="2764" w:type="dxa"/>
            <w:tcMar>
              <w:left w:w="113" w:type="dxa"/>
            </w:tcMar>
          </w:tcPr>
          <w:p>
            <w:pPr>
              <w:ind w:firstLine="420" w:firstLineChars="200"/>
            </w:pPr>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2021.10. 7</w:t>
            </w:r>
          </w:p>
        </w:tc>
      </w:tr>
    </w:tbl>
    <w:p/>
    <w:p/>
    <w:p>
      <w:r>
        <w:rPr>
          <w:rFonts w:hint="eastAsia"/>
        </w:rPr>
        <w:t>十四、审核报告的发放范围：</w:t>
      </w:r>
    </w:p>
    <w:p>
      <w:r>
        <w:rPr>
          <w:rFonts w:hint="eastAsia"/>
        </w:rPr>
        <w:t>受审核方(含附件)：</w:t>
      </w:r>
      <w:r>
        <w:rPr>
          <w:rFonts w:hint="eastAsia"/>
        </w:rPr>
        <w:tab/>
      </w:r>
      <w:r>
        <w:rPr>
          <w:rFonts w:hint="eastAsia"/>
          <w:lang w:val="en-US" w:eastAsia="zh-CN"/>
        </w:rPr>
        <w:t xml:space="preserve">          </w:t>
      </w:r>
      <w:r>
        <w:rPr>
          <w:rFonts w:hint="eastAsia"/>
        </w:rPr>
        <w:t xml:space="preserve">     1份</w:t>
      </w:r>
    </w:p>
    <w:p>
      <w:pPr>
        <w:rPr>
          <w:rFonts w:hint="default" w:eastAsia="宋体"/>
          <w:lang w:val="en-US" w:eastAsia="zh-CN"/>
        </w:rPr>
      </w:pPr>
      <w:r>
        <w:rPr>
          <w:rFonts w:hint="eastAsia"/>
        </w:rPr>
        <w:t>北京国标联合认证有限公司：</w:t>
      </w:r>
      <w:r>
        <w:rPr>
          <w:rFonts w:hint="eastAsia"/>
          <w:lang w:val="en-US" w:eastAsia="zh-CN"/>
        </w:rPr>
        <w:t xml:space="preserve">         </w:t>
      </w:r>
      <w:r>
        <w:rPr>
          <w:rFonts w:hint="eastAsia"/>
        </w:rPr>
        <w:t>1份</w:t>
      </w:r>
      <w:r>
        <w:rPr>
          <w:rFonts w:hint="eastAsia"/>
          <w:lang w:val="en-US" w:eastAsia="zh-CN"/>
        </w:rPr>
        <w:t xml:space="preserve">   </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r>
        <w:t>附件 ISO 14001:2015 (若不是ISO 14001:2015审核请删除)</w:t>
      </w:r>
    </w:p>
    <w:tbl>
      <w:tblPr>
        <w:tblStyle w:val="9"/>
        <w:tblW w:w="1019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323"/>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shd w:val="clear" w:color="auto" w:fill="EBF1DE" w:themeFill="accent3" w:themeFillTint="32"/>
          </w:tcPr>
          <w:p>
            <w:pPr>
              <w:shd w:val="clear" w:color="auto" w:fill="EBF1DE" w:themeFill="accent3" w:themeFillTint="32"/>
            </w:pPr>
            <w:r>
              <w:rPr>
                <w:rFonts w:hint="eastAsia"/>
              </w:rPr>
              <w:t>审核周期</w:t>
            </w:r>
          </w:p>
        </w:tc>
        <w:tc>
          <w:tcPr>
            <w:tcW w:w="8867"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shd w:val="clear" w:color="auto" w:fill="EBF1DE" w:themeFill="accent3" w:themeFillTint="32"/>
          </w:tcPr>
          <w:p>
            <w:pPr>
              <w:shd w:val="clear" w:color="auto" w:fill="EBF1DE" w:themeFill="accent3" w:themeFillTint="32"/>
            </w:pPr>
            <w:r>
              <w:rPr>
                <w:rFonts w:hint="eastAsia"/>
              </w:rPr>
              <w:t>体系要素</w:t>
            </w:r>
          </w:p>
        </w:tc>
        <w:tc>
          <w:tcPr>
            <w:tcW w:w="8867"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323" w:type="dxa"/>
            <w:vMerge w:val="restart"/>
            <w:shd w:val="clear" w:color="auto" w:fill="EBF1DE" w:themeFill="accent3" w:themeFillTint="32"/>
          </w:tcPr>
          <w:p>
            <w:pPr>
              <w:shd w:val="clear" w:color="auto" w:fill="EBF1DE" w:themeFill="accent3" w:themeFillTint="32"/>
            </w:pPr>
            <w:r>
              <w:rPr>
                <w:rFonts w:hint="eastAsia"/>
              </w:rPr>
              <w:t>组织环境</w:t>
            </w:r>
          </w:p>
        </w:tc>
        <w:tc>
          <w:tcPr>
            <w:tcW w:w="8867"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323" w:type="dxa"/>
            <w:vMerge w:val="continue"/>
            <w:shd w:val="clear" w:color="auto" w:fill="EBF1DE" w:themeFill="accent3" w:themeFillTint="32"/>
          </w:tcPr>
          <w:p>
            <w:pPr>
              <w:shd w:val="clear" w:color="auto" w:fill="EBF1DE" w:themeFill="accent3" w:themeFillTint="32"/>
            </w:pPr>
          </w:p>
        </w:tc>
        <w:tc>
          <w:tcPr>
            <w:tcW w:w="8867"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w:t>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3" w:type="dxa"/>
            <w:vMerge w:val="continue"/>
            <w:shd w:val="clear" w:color="auto" w:fill="EBF1DE" w:themeFill="accent3" w:themeFillTint="32"/>
          </w:tcPr>
          <w:p>
            <w:pPr>
              <w:shd w:val="clear" w:color="auto" w:fill="EBF1DE" w:themeFill="accent3" w:themeFillTint="32"/>
            </w:pPr>
          </w:p>
        </w:tc>
        <w:tc>
          <w:tcPr>
            <w:tcW w:w="8867"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3" w:type="dxa"/>
            <w:vMerge w:val="continue"/>
            <w:shd w:val="clear" w:color="auto" w:fill="EBF1DE" w:themeFill="accent3" w:themeFillTint="32"/>
          </w:tcPr>
          <w:p>
            <w:pPr>
              <w:shd w:val="clear" w:color="auto" w:fill="EBF1DE" w:themeFill="accent3" w:themeFillTint="32"/>
            </w:pPr>
          </w:p>
        </w:tc>
        <w:tc>
          <w:tcPr>
            <w:tcW w:w="8867"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bookmarkStart w:id="34" w:name="_GoBack"/>
            <w:bookmarkEnd w:id="34"/>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shd w:val="clear" w:color="auto" w:fill="EBF1DE" w:themeFill="accent3" w:themeFillTint="32"/>
          </w:tcPr>
          <w:p>
            <w:pPr>
              <w:shd w:val="clear" w:color="auto" w:fill="EBF1DE" w:themeFill="accent3" w:themeFillTint="32"/>
            </w:pPr>
            <w:r>
              <w:rPr>
                <w:rFonts w:hint="eastAsia"/>
              </w:rPr>
              <w:t>领导作用</w:t>
            </w:r>
          </w:p>
        </w:tc>
        <w:tc>
          <w:tcPr>
            <w:tcW w:w="8867"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vMerge w:val="continue"/>
            <w:shd w:val="clear" w:color="auto" w:fill="EBF1DE" w:themeFill="accent3" w:themeFillTint="32"/>
          </w:tcPr>
          <w:p>
            <w:pPr>
              <w:shd w:val="clear" w:color="auto" w:fill="EBF1DE" w:themeFill="accent3" w:themeFillTint="32"/>
            </w:pPr>
          </w:p>
        </w:tc>
        <w:tc>
          <w:tcPr>
            <w:tcW w:w="8867"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最高管理者制定了文件化的管理体系方针：安全第一、保障健康 质量为本、规范生产</w:t>
            </w:r>
            <w:r>
              <w:rPr>
                <w:rFonts w:hint="eastAsia"/>
                <w:lang w:eastAsia="zh-CN"/>
              </w:rPr>
              <w:t>；</w:t>
            </w:r>
            <w:r>
              <w:rPr>
                <w:rFonts w:hint="eastAsia"/>
              </w:rPr>
              <w:t xml:space="preserve">减少污染、节能降耗 </w:t>
            </w:r>
            <w:r>
              <w:rPr>
                <w:rFonts w:hint="eastAsia"/>
                <w:lang w:eastAsia="zh-CN"/>
              </w:rPr>
              <w:t>；</w:t>
            </w:r>
            <w:r>
              <w:rPr>
                <w:rFonts w:hint="eastAsia"/>
              </w:rPr>
              <w:t>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vMerge w:val="continue"/>
            <w:shd w:val="clear" w:color="auto" w:fill="EBF1DE" w:themeFill="accent3" w:themeFillTint="32"/>
          </w:tcPr>
          <w:p>
            <w:pPr>
              <w:shd w:val="clear" w:color="auto" w:fill="EBF1DE" w:themeFill="accent3" w:themeFillTint="32"/>
            </w:pPr>
          </w:p>
        </w:tc>
        <w:tc>
          <w:tcPr>
            <w:tcW w:w="8867"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宋体" w:hAnsi="宋体" w:cs="宋体"/>
                      <w:kern w:val="0"/>
                      <w:sz w:val="20"/>
                      <w:szCs w:val="20"/>
                    </w:rPr>
                    <w:t>经营各级产品，抽检出不合格品</w:t>
                  </w:r>
                </w:p>
              </w:tc>
              <w:tc>
                <w:tcPr>
                  <w:tcW w:w="3965" w:type="dxa"/>
                  <w:vAlign w:val="center"/>
                </w:tcPr>
                <w:p>
                  <w:pPr>
                    <w:widowControl/>
                    <w:jc w:val="center"/>
                    <w:rPr>
                      <w:rFonts w:hint="eastAsia" w:ascii="Times New Roman" w:hAnsi="Times New Roman" w:eastAsia="宋体" w:cs="Times New Roman"/>
                      <w:kern w:val="2"/>
                      <w:sz w:val="22"/>
                      <w:szCs w:val="22"/>
                      <w:lang w:val="en-US" w:eastAsia="zh-CN" w:bidi="ar-SA"/>
                    </w:rPr>
                  </w:pPr>
                  <w:r>
                    <w:rPr>
                      <w:rFonts w:hint="eastAsia" w:ascii="宋体" w:hAnsi="宋体" w:cs="宋体"/>
                      <w:kern w:val="0"/>
                      <w:sz w:val="20"/>
                      <w:szCs w:val="20"/>
                    </w:rPr>
                    <w:t>立即对不合格产品进行召回，做好处置工作。对供应商采购物资的质量信誉重点评价。对生产过程工艺、人员变动、材料和设备进行检查，加强仓储管理。</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imes New Roman" w:hAnsi="Times New Roman" w:eastAsia="宋体" w:cs="Times New Roman"/>
                      <w:kern w:val="2"/>
                      <w:sz w:val="22"/>
                      <w:szCs w:val="22"/>
                      <w:lang w:val="en-US" w:eastAsia="zh-CN" w:bidi="ar-SA"/>
                    </w:rPr>
                  </w:pPr>
                  <w:r>
                    <w:rPr>
                      <w:rFonts w:hint="eastAsia"/>
                      <w:sz w:val="20"/>
                      <w:szCs w:val="20"/>
                    </w:rPr>
                    <w:t>制度的制定中起草、修订、审核、批准、分发、保管、修改、撤销、替换、销毁过程部分缺失</w:t>
                  </w:r>
                </w:p>
              </w:tc>
              <w:tc>
                <w:tcPr>
                  <w:tcW w:w="3965" w:type="dxa"/>
                  <w:vAlign w:val="center"/>
                </w:tcPr>
                <w:p>
                  <w:pPr>
                    <w:jc w:val="center"/>
                    <w:rPr>
                      <w:rFonts w:hint="default"/>
                    </w:rPr>
                  </w:pPr>
                  <w:r>
                    <w:rPr>
                      <w:rFonts w:hint="eastAsia"/>
                      <w:sz w:val="20"/>
                      <w:szCs w:val="20"/>
                    </w:rPr>
                    <w:t>对之前的经营情况进行内审，完善体系文件档案记录。严格执行文件管理制度和规程</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宋体"/>
                      <w:kern w:val="2"/>
                      <w:sz w:val="20"/>
                      <w:szCs w:val="20"/>
                      <w:lang w:val="en-US" w:eastAsia="zh-CN" w:bidi="ar-SA"/>
                    </w:rPr>
                  </w:pPr>
                  <w:r>
                    <w:rPr>
                      <w:rFonts w:hint="eastAsia"/>
                      <w:sz w:val="20"/>
                      <w:szCs w:val="20"/>
                      <w:lang w:val="en-US" w:eastAsia="zh-CN"/>
                    </w:rPr>
                    <w:t>企业负责人</w:t>
                  </w:r>
                  <w:r>
                    <w:rPr>
                      <w:rFonts w:hint="eastAsia"/>
                      <w:sz w:val="20"/>
                      <w:szCs w:val="20"/>
                    </w:rPr>
                    <w:t>不熟悉有关产品管理的法律法规及本规范</w:t>
                  </w:r>
                </w:p>
              </w:tc>
              <w:tc>
                <w:tcPr>
                  <w:tcW w:w="3965" w:type="dxa"/>
                  <w:vAlign w:val="center"/>
                </w:tcPr>
                <w:p>
                  <w:pPr>
                    <w:jc w:val="center"/>
                    <w:rPr>
                      <w:rFonts w:hint="eastAsia" w:ascii="宋体" w:hAnsi="宋体" w:eastAsia="宋体" w:cs="宋体"/>
                      <w:kern w:val="2"/>
                      <w:sz w:val="20"/>
                      <w:szCs w:val="20"/>
                      <w:lang w:val="en-US" w:eastAsia="zh-CN" w:bidi="ar-SA"/>
                    </w:rPr>
                  </w:pPr>
                  <w:r>
                    <w:rPr>
                      <w:rFonts w:hint="eastAsia"/>
                      <w:sz w:val="20"/>
                      <w:szCs w:val="20"/>
                    </w:rPr>
                    <w:t>立即对负责人进行质量培训，重点培训有关产品管理的法律法规及产品标准，考试检查其掌握程度。</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100%</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重要环境因素包括(必要时，按每个场所来描述):（不必全选）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□废气排放 □粉尘排放  □危废排放 □噪声排放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□环境影响报告表日期：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□环境影响报告书日期：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□污水处理  □除尘设备 □设备降噪  □危废合法处置 □使用节能设备  □危化品控制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固体废物100%分类处置</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1. 制作固废分类标识牌；2. 划分固废分类存放区，制作存放容器；3. 进行固废分类及要求的培训；4. 每月检查固废分类存放及回收状况。</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szCs w:val="21"/>
                    </w:rPr>
                  </w:pPr>
                  <w:r>
                    <w:rPr>
                      <w:rFonts w:hint="eastAsia" w:ascii="宋体" w:hAnsi="宋体"/>
                      <w:szCs w:val="21"/>
                    </w:rPr>
                    <w:t>办公室</w:t>
                  </w:r>
                </w:p>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ascii="宋体" w:hAnsi="宋体"/>
                      <w:szCs w:val="21"/>
                    </w:rPr>
                    <w:t>供销部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Times New Roman" w:hAnsi="Times New Roman" w:eastAsia="宋体" w:cs="Times New Roman"/>
                      <w:kern w:val="2"/>
                      <w:sz w:val="24"/>
                      <w:szCs w:val="24"/>
                      <w:lang w:val="en-US" w:eastAsia="zh-CN" w:bidi="ar-SA"/>
                    </w:rPr>
                  </w:pPr>
                  <w:r>
                    <w:rPr>
                      <w:rFonts w:hint="eastAsia"/>
                    </w:rPr>
                    <w:t>火灾事故发生率为零</w:t>
                  </w: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eastAsia"/>
                    </w:rPr>
                  </w:pPr>
                  <w:r>
                    <w:rPr>
                      <w:rFonts w:hint="eastAsia"/>
                    </w:rPr>
                    <w:t>1、制作固废分类标识牌</w:t>
                  </w:r>
                </w:p>
                <w:p>
                  <w:pPr>
                    <w:keepNext w:val="0"/>
                    <w:keepLines w:val="0"/>
                    <w:suppressLineNumbers w:val="0"/>
                    <w:spacing w:before="0" w:beforeAutospacing="0" w:after="0" w:afterAutospacing="0" w:line="400" w:lineRule="exact"/>
                    <w:ind w:left="0" w:right="0"/>
                    <w:rPr>
                      <w:rFonts w:hint="eastAsia"/>
                    </w:rPr>
                  </w:pPr>
                  <w:r>
                    <w:rPr>
                      <w:rFonts w:hint="eastAsia"/>
                    </w:rPr>
                    <w:t>2、划分固废分类存放区，制作存放容器，在办公、公共场所配置固废分类收集箱</w:t>
                  </w:r>
                </w:p>
                <w:p>
                  <w:pPr>
                    <w:keepNext w:val="0"/>
                    <w:keepLines w:val="0"/>
                    <w:suppressLineNumbers w:val="0"/>
                    <w:spacing w:before="0" w:beforeAutospacing="0" w:after="0" w:afterAutospacing="0" w:line="400" w:lineRule="exact"/>
                    <w:ind w:left="0" w:right="0"/>
                    <w:rPr>
                      <w:rFonts w:hint="eastAsia"/>
                    </w:rPr>
                  </w:pPr>
                  <w:r>
                    <w:rPr>
                      <w:rFonts w:hint="eastAsia"/>
                    </w:rPr>
                    <w:t>3、进行固废分类及要求的培训，提高意识熟知要求。</w:t>
                  </w:r>
                </w:p>
                <w:p>
                  <w:pPr>
                    <w:keepNext w:val="0"/>
                    <w:keepLines w:val="0"/>
                    <w:suppressLineNumbers w:val="0"/>
                    <w:spacing w:before="0" w:beforeAutospacing="0" w:after="0" w:afterAutospacing="0" w:line="400" w:lineRule="exact"/>
                    <w:ind w:left="0" w:right="0"/>
                    <w:rPr>
                      <w:rFonts w:hint="eastAsia" w:ascii="宋体" w:hAnsi="宋体" w:eastAsia="宋体" w:cs="Times New Roman"/>
                      <w:kern w:val="2"/>
                      <w:sz w:val="21"/>
                      <w:szCs w:val="21"/>
                      <w:lang w:val="en-US" w:eastAsia="zh-CN" w:bidi="ar-SA"/>
                    </w:rPr>
                  </w:pPr>
                  <w:r>
                    <w:rPr>
                      <w:rFonts w:hint="eastAsia"/>
                    </w:rPr>
                    <w:t>4、每月检查固废分类存放及回收状况</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ascii="宋体" w:hAnsi="宋体"/>
                      <w:szCs w:val="21"/>
                    </w:rPr>
                  </w:pPr>
                  <w:r>
                    <w:rPr>
                      <w:rFonts w:hint="eastAsia" w:ascii="宋体" w:hAnsi="宋体"/>
                      <w:szCs w:val="21"/>
                    </w:rPr>
                    <w:t>办公室</w:t>
                  </w:r>
                </w:p>
                <w:p>
                  <w:pPr>
                    <w:keepNext w:val="0"/>
                    <w:keepLines w:val="0"/>
                    <w:suppressLineNumbers w:val="0"/>
                    <w:shd w:val="clear" w:color="auto" w:fill="EBF1DE" w:themeFill="accent3" w:themeFillTint="32"/>
                    <w:spacing w:before="0" w:beforeAutospacing="0" w:after="0" w:afterAutospacing="0"/>
                    <w:ind w:left="0" w:leftChars="0" w:right="0" w:rightChars="0"/>
                    <w:rPr>
                      <w:rFonts w:hint="default" w:ascii="宋体" w:hAnsi="宋体"/>
                    </w:rPr>
                  </w:pPr>
                  <w:r>
                    <w:rPr>
                      <w:rFonts w:hint="eastAsia" w:ascii="宋体" w:hAnsi="宋体"/>
                      <w:szCs w:val="21"/>
                    </w:rPr>
                    <w:t>供销部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已完成</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323"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组织应确定并配备所需的</w:t>
            </w:r>
            <w:r>
              <w:rPr>
                <w:rFonts w:hint="eastAsia"/>
              </w:rPr>
              <w:t>管理人员、技术</w:t>
            </w:r>
            <w:r>
              <w:rPr>
                <w:rFonts w:hint="default"/>
              </w:rPr>
              <w:t>人员</w:t>
            </w:r>
            <w:r>
              <w:rPr>
                <w:rFonts w:hint="eastAsia"/>
              </w:rPr>
              <w:t>和生产操作/服务提供人员：</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w:t>
            </w:r>
            <w:r>
              <w:rPr>
                <w:rFonts w:hint="eastAsia"/>
              </w:rPr>
              <w:t>人力</w:t>
            </w:r>
            <w:r>
              <w:rPr>
                <w:rFonts w:hint="default"/>
              </w:rPr>
              <w:t>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人力</w:t>
            </w:r>
            <w:r>
              <w:rPr>
                <w:rFonts w:hint="default"/>
              </w:rP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人力</w:t>
            </w:r>
            <w:r>
              <w:rPr>
                <w:rFonts w:hint="default"/>
              </w:rPr>
              <w:t>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组织应确定、提供并维护所需的基础设施情况：</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US" w:eastAsia="zh-CN"/>
              </w:rPr>
              <w:t>办公</w:t>
            </w:r>
            <w:r>
              <w:rPr>
                <w:rFonts w:hint="eastAsia"/>
              </w:rPr>
              <w:t>面积</w:t>
            </w:r>
            <w:r>
              <w:rPr>
                <w:rFonts w:hint="eastAsia"/>
                <w:u w:val="single"/>
              </w:rPr>
              <w:t xml:space="preserve"> </w:t>
            </w:r>
            <w:r>
              <w:rPr>
                <w:rFonts w:hint="eastAsia"/>
                <w:u w:val="single"/>
                <w:lang w:val="en-US" w:eastAsia="zh-CN"/>
              </w:rPr>
              <w:t>约100</w:t>
            </w:r>
            <w:r>
              <w:rPr>
                <w:rFonts w:hint="eastAsia"/>
                <w:u w:val="single"/>
              </w:rPr>
              <w:t xml:space="preserve">     </w:t>
            </w:r>
            <w:r>
              <w:rPr>
                <w:rFonts w:hint="eastAsia"/>
              </w:rPr>
              <w:t>平方米；</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主要</w:t>
            </w:r>
            <w:r>
              <w:rPr>
                <w:rFonts w:hint="eastAsia"/>
                <w:lang w:val="en-US" w:eastAsia="zh-CN"/>
              </w:rPr>
              <w:t>办公</w:t>
            </w:r>
            <w:r>
              <w:rPr>
                <w:rFonts w:hint="eastAsia"/>
              </w:rPr>
              <w:t>设备有：</w:t>
            </w:r>
            <w:r>
              <w:rPr>
                <w:rFonts w:hint="eastAsia"/>
                <w:u w:val="single"/>
              </w:rPr>
              <w:t>电脑、电话、一体机、办公桌椅；          （列举2~4种）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主要环保设备有：</w:t>
            </w:r>
            <w:r>
              <w:rPr>
                <w:rFonts w:hint="eastAsia"/>
                <w:u w:val="single"/>
              </w:rPr>
              <w:t xml:space="preserve">          </w:t>
            </w:r>
            <w:r>
              <w:rPr>
                <w:rFonts w:hint="eastAsia"/>
                <w:u w:val="single"/>
                <w:lang w:val="en-US" w:eastAsia="zh-CN"/>
              </w:rPr>
              <w:t>消火栓、灭火器</w:t>
            </w:r>
            <w:r>
              <w:rPr>
                <w:rFonts w:hint="eastAsia"/>
                <w:u w:val="single"/>
              </w:rPr>
              <w:t xml:space="preserve">                （列举2~4种）</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keepNext w:val="0"/>
              <w:keepLines w:val="0"/>
              <w:suppressLineNumbers w:val="0"/>
              <w:shd w:val="clear" w:color="auto" w:fill="EBF1DE" w:themeFill="accent3" w:themeFillTint="32"/>
              <w:spacing w:before="0" w:beforeAutospacing="0" w:after="0" w:afterAutospacing="0"/>
              <w:ind w:left="0" w:right="0" w:firstLine="1050" w:firstLineChars="500"/>
              <w:rPr>
                <w:rFonts w:hint="default"/>
              </w:rPr>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w:t>
            </w:r>
            <w:r>
              <w:rPr>
                <w:rFonts w:hint="eastAsia"/>
              </w:rPr>
              <w:t>基础设施可满足环境管理体系运行；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基础设施可基本满足环境管理体系运行，但是还有不足需要补充：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□组织</w:t>
            </w:r>
            <w:r>
              <w:rPr>
                <w:rFonts w:hint="default"/>
              </w:rPr>
              <w:t>现有</w:t>
            </w:r>
            <w:r>
              <w:rPr>
                <w:rFonts w:hint="eastAsia"/>
              </w:rPr>
              <w:t>基础设施完全不能满足环境管理体系运行，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323"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■工艺流程图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能源消耗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检查水、   电消耗达标情况</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资源消耗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检查纸张、 办公用品的使用情况</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废水排放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废气排放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噪声排放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固废排放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粉尘排放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火灾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运行检查，查出消防隐患及时整改</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隐患已整改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其他</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消防火灾事故</w:t>
            </w:r>
            <w:r>
              <w:rPr>
                <w:rFonts w:hint="eastAsia"/>
                <w:u w:val="single"/>
              </w:rPr>
              <w:t xml:space="preserve">        </w:t>
            </w:r>
            <w:r>
              <w:rPr>
                <w:rFonts w:hint="eastAsia"/>
              </w:rPr>
              <w:t xml:space="preserve">的演练；并总结了预案的可行性和有效性。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《环境监测报告》编号：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若是多班次操作：（按照组织的实际情况选择）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对所有班次的现场操作已审核。</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86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972" w:tblpY="132"/>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355"/>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355"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712CBC"/>
    <w:rsid w:val="0BB470F2"/>
    <w:rsid w:val="1C4E4CB2"/>
    <w:rsid w:val="1D185A2C"/>
    <w:rsid w:val="1DE37709"/>
    <w:rsid w:val="1E8D1720"/>
    <w:rsid w:val="1F8F6066"/>
    <w:rsid w:val="24832462"/>
    <w:rsid w:val="24C37E88"/>
    <w:rsid w:val="284075A7"/>
    <w:rsid w:val="2A2A6CEF"/>
    <w:rsid w:val="2CD15BE2"/>
    <w:rsid w:val="2D9D16BD"/>
    <w:rsid w:val="32A9073D"/>
    <w:rsid w:val="35B141AF"/>
    <w:rsid w:val="39577055"/>
    <w:rsid w:val="3E745F69"/>
    <w:rsid w:val="3FA06A60"/>
    <w:rsid w:val="43930B2E"/>
    <w:rsid w:val="45AF7F8E"/>
    <w:rsid w:val="46DB7A72"/>
    <w:rsid w:val="4764472B"/>
    <w:rsid w:val="4AC76616"/>
    <w:rsid w:val="50D74FB1"/>
    <w:rsid w:val="58087455"/>
    <w:rsid w:val="5E9C7D98"/>
    <w:rsid w:val="642C76C5"/>
    <w:rsid w:val="659F4F3F"/>
    <w:rsid w:val="67973AE5"/>
    <w:rsid w:val="74026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2021-10-06T05:57:47Z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