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1021-2021-Q</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北京唐新丰企科技有限公司唐山分公司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北京唐新丰企科技有限公司唐山分公司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河北省唐山市丰润区横十四道南侧、南环东道北侧（科奥浦森5-6号库房西北角）</w:t>
            </w:r>
            <w:bookmarkEnd w:id="6"/>
          </w:p>
        </w:tc>
        <w:tc>
          <w:tcPr>
            <w:tcW w:w="1242" w:type="dxa"/>
            <w:vMerge w:val="restart"/>
            <w:vAlign w:val="center"/>
          </w:tcPr>
          <w:p>
            <w:r>
              <w:rPr>
                <w:rFonts w:hint="eastAsia"/>
              </w:rPr>
              <w:t>邮编</w:t>
            </w:r>
          </w:p>
        </w:tc>
        <w:tc>
          <w:tcPr>
            <w:tcW w:w="1771" w:type="dxa"/>
          </w:tcPr>
          <w:p>
            <w:bookmarkStart w:id="7" w:name="注册邮编"/>
            <w:r>
              <w:t>064000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河北省唐山市丰润区横十四道南侧、南环东道北侧（科奥浦森5-6号库房西北角）</w:t>
            </w:r>
            <w:bookmarkEnd w:id="8"/>
          </w:p>
        </w:tc>
        <w:tc>
          <w:tcPr>
            <w:tcW w:w="1242" w:type="dxa"/>
            <w:vMerge w:val="continue"/>
            <w:vAlign w:val="center"/>
          </w:tcPr>
          <w:p/>
        </w:tc>
        <w:tc>
          <w:tcPr>
            <w:tcW w:w="1771" w:type="dxa"/>
          </w:tcPr>
          <w:p>
            <w:bookmarkStart w:id="9" w:name="办公邮编"/>
            <w:r>
              <w:t>064000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冯伯东</w:t>
            </w:r>
            <w:bookmarkEnd w:id="10"/>
          </w:p>
        </w:tc>
        <w:tc>
          <w:tcPr>
            <w:tcW w:w="1313" w:type="dxa"/>
            <w:vAlign w:val="center"/>
          </w:tcPr>
          <w:p>
            <w:r>
              <w:rPr>
                <w:rFonts w:hint="eastAsia"/>
              </w:rPr>
              <w:t>电话.</w:t>
            </w:r>
          </w:p>
        </w:tc>
        <w:tc>
          <w:tcPr>
            <w:tcW w:w="2180" w:type="dxa"/>
            <w:vAlign w:val="center"/>
          </w:tcPr>
          <w:p>
            <w:bookmarkStart w:id="11" w:name="联系人电话"/>
            <w:r>
              <w:t>0315-5113968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郭永秋</w:t>
            </w:r>
            <w:bookmarkEnd w:id="13"/>
          </w:p>
        </w:tc>
        <w:tc>
          <w:tcPr>
            <w:tcW w:w="1313" w:type="dxa"/>
            <w:vAlign w:val="center"/>
          </w:tcPr>
          <w:p>
            <w:r>
              <w:rPr>
                <w:rFonts w:hint="eastAsia"/>
              </w:rPr>
              <w:t>管理者代表</w:t>
            </w:r>
          </w:p>
        </w:tc>
        <w:tc>
          <w:tcPr>
            <w:tcW w:w="2180" w:type="dxa"/>
          </w:tcPr>
          <w:p>
            <w:bookmarkStart w:id="14" w:name="管理者代表"/>
            <w:r>
              <w:t>冯伯东</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r>
              <w:rPr>
                <w:rFonts w:hint="eastAsia"/>
              </w:rPr>
              <w:t>受审核组织的班次：■单班□双班□三班□其他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Times New Roman" w:hAnsi="Times New Roman" w:eastAsia="宋体" w:cs="Times New Roman"/>
              </w:rPr>
              <w:t>主机厂拆卸的线缆进公司——清理清洗—检测—分解拆除——组装换新—测试——入库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3"/>
        <w:gridCol w:w="5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2021年10月09日 上午至2021年10月09日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05" w:hRule="exact"/>
        </w:trPr>
        <w:tc>
          <w:tcPr>
            <w:tcW w:w="1632" w:type="dxa"/>
            <w:gridSpan w:val="2"/>
          </w:tcPr>
          <w:p>
            <w:r>
              <w:rPr>
                <w:rFonts w:hint="eastAsia"/>
              </w:rPr>
              <w:t>审核准则</w:t>
            </w:r>
          </w:p>
          <w:p/>
        </w:tc>
        <w:tc>
          <w:tcPr>
            <w:tcW w:w="7831" w:type="dxa"/>
            <w:gridSpan w:val="3"/>
            <w:tcMar>
              <w:left w:w="113" w:type="dxa"/>
            </w:tcMar>
          </w:tcPr>
          <w:p>
            <w:pPr>
              <w:rPr>
                <w:lang w:val="de-DE"/>
              </w:rPr>
            </w:pPr>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val="0"/>
                <w:bCs w:val="0"/>
                <w:color w:val="auto"/>
                <w:szCs w:val="21"/>
              </w:rPr>
              <w:t>审核地址（含远程）</w:t>
            </w:r>
          </w:p>
        </w:tc>
        <w:tc>
          <w:tcPr>
            <w:tcW w:w="7831" w:type="dxa"/>
            <w:gridSpan w:val="3"/>
            <w:tcMar>
              <w:left w:w="113" w:type="dxa"/>
            </w:tcMar>
          </w:tcPr>
          <w:p>
            <w:pPr>
              <w:rPr>
                <w:rFonts w:ascii="宋体"/>
                <w:b/>
                <w:color w:val="0000FF"/>
                <w:szCs w:val="21"/>
              </w:rPr>
            </w:pPr>
            <w:r>
              <w:t>河北省唐山市丰润区横十四道南侧、南环东道北侧（科奥浦森5-6号库房西北角）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23" w:type="dxa"/>
            <w:vMerge w:val="restart"/>
            <w:vAlign w:val="center"/>
          </w:tcPr>
          <w:p>
            <w:r>
              <w:rPr>
                <w:rFonts w:hint="eastAsia"/>
              </w:rPr>
              <w:t>审核范围</w:t>
            </w:r>
          </w:p>
          <w:p/>
        </w:tc>
        <w:tc>
          <w:tcPr>
            <w:tcW w:w="5125" w:type="dxa"/>
            <w:gridSpan w:val="3"/>
            <w:vMerge w:val="restart"/>
            <w:vAlign w:val="center"/>
          </w:tcPr>
          <w:p>
            <w:bookmarkStart w:id="26" w:name="审核范围"/>
            <w:r>
              <w:t>动车组跨接线缆的维修</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23" w:type="dxa"/>
            <w:vMerge w:val="continue"/>
            <w:vAlign w:val="center"/>
          </w:tcPr>
          <w:p/>
        </w:tc>
        <w:tc>
          <w:tcPr>
            <w:tcW w:w="5125" w:type="dxa"/>
            <w:gridSpan w:val="3"/>
            <w:vMerge w:val="continue"/>
            <w:vAlign w:val="center"/>
          </w:tcPr>
          <w:p/>
        </w:tc>
        <w:tc>
          <w:tcPr>
            <w:tcW w:w="3215" w:type="dxa"/>
            <w:vAlign w:val="center"/>
          </w:tcPr>
          <w:p>
            <w:bookmarkStart w:id="27" w:name="专业代码"/>
            <w:r>
              <w:t>22.04.00</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ascii="宋体" w:hAnsi="宋体"/>
                <w:sz w:val="21"/>
                <w:szCs w:val="21"/>
                <w:u w:val="none"/>
              </w:rPr>
              <w:t>8.3</w:t>
            </w:r>
            <w:r>
              <w:rPr>
                <w:rFonts w:hint="eastAsia" w:ascii="宋体" w:hAnsi="宋体"/>
                <w:sz w:val="21"/>
                <w:szCs w:val="21"/>
                <w:u w:val="none"/>
                <w:lang w:val="en-US" w:eastAsia="zh-CN"/>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val="de-DE"/>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rFonts w:hint="eastAsia" w:ascii="宋体" w:hAnsi="宋体"/>
                <w:color w:val="000000"/>
                <w:szCs w:val="21"/>
              </w:rPr>
            </w:pPr>
            <w:r>
              <w:rPr>
                <w:rFonts w:hint="eastAsia" w:ascii="宋体" w:hAnsi="宋体"/>
                <w:color w:val="000000"/>
                <w:szCs w:val="21"/>
              </w:rPr>
              <w:t>北京唐新丰企科技有限公司唐山分公司</w:t>
            </w:r>
          </w:p>
          <w:p>
            <w:pPr>
              <w:rPr>
                <w:rFonts w:hint="eastAsia" w:ascii="宋体" w:hAnsi="宋体" w:eastAsia="宋体" w:cs="Times New Roman"/>
                <w:color w:val="000000"/>
                <w:kern w:val="2"/>
                <w:sz w:val="21"/>
                <w:szCs w:val="21"/>
                <w:lang w:val="de-DE" w:eastAsia="ja-JP" w:bidi="ar-SA"/>
              </w:rPr>
            </w:pPr>
            <w:r>
              <w:rPr>
                <w:rFonts w:hint="eastAsia" w:ascii="宋体" w:hAnsi="宋体"/>
                <w:color w:val="000000"/>
                <w:szCs w:val="21"/>
                <w:lang w:eastAsia="zh-CN"/>
              </w:rPr>
              <w:t>河北省唐山市丰润区横十四道南侧、南环东道北侧（科奥浦森5-6号库房西北角）</w:t>
            </w:r>
          </w:p>
        </w:tc>
        <w:tc>
          <w:tcPr>
            <w:tcW w:w="2267" w:type="dxa"/>
            <w:vAlign w:val="top"/>
          </w:tcPr>
          <w:p>
            <w:pPr>
              <w:rPr>
                <w:rFonts w:hint="eastAsia" w:ascii="宋体" w:hAnsi="宋体" w:eastAsia="宋体" w:cs="Times New Roman"/>
                <w:color w:val="000000"/>
                <w:kern w:val="2"/>
                <w:sz w:val="21"/>
                <w:szCs w:val="21"/>
                <w:lang w:val="de-DE" w:eastAsia="ja-JP" w:bidi="ar-SA"/>
              </w:rPr>
            </w:pPr>
            <w:r>
              <w:rPr>
                <w:rFonts w:hint="eastAsia" w:ascii="宋体" w:hAnsi="宋体"/>
                <w:color w:val="000000"/>
                <w:szCs w:val="21"/>
                <w:lang w:eastAsia="zh-CN"/>
              </w:rPr>
              <w:t>河北省唐山市丰润区横十四道南侧、南环东道北侧（科奥浦森5-6号库房西北角）</w:t>
            </w:r>
          </w:p>
        </w:tc>
        <w:tc>
          <w:tcPr>
            <w:tcW w:w="571" w:type="dxa"/>
            <w:vAlign w:val="center"/>
          </w:tcPr>
          <w:p>
            <w:pPr>
              <w:rPr>
                <w:rFonts w:hint="default" w:eastAsia="宋体"/>
                <w:lang w:val="en-US" w:eastAsia="zh-CN"/>
              </w:rPr>
            </w:pPr>
            <w:r>
              <w:rPr>
                <w:rFonts w:hint="eastAsia"/>
                <w:lang w:val="en-US" w:eastAsia="zh-CN"/>
              </w:rPr>
              <w:t>15</w:t>
            </w:r>
          </w:p>
        </w:tc>
        <w:tc>
          <w:tcPr>
            <w:tcW w:w="2803" w:type="dxa"/>
            <w:vAlign w:val="center"/>
          </w:tcPr>
          <w:p>
            <w:pPr>
              <w:pStyle w:val="20"/>
              <w:rPr>
                <w:rFonts w:ascii="Times New Roman" w:hAnsi="Times New Roman" w:eastAsia="黑体" w:cs="Arial"/>
                <w:kern w:val="2"/>
                <w:sz w:val="21"/>
                <w:szCs w:val="21"/>
                <w:lang w:val="en-US" w:eastAsia="ja-JP" w:bidi="ar-SA"/>
              </w:rPr>
            </w:pPr>
            <w:r>
              <w:rPr>
                <w:rFonts w:hint="eastAsia" w:ascii="宋体" w:hAnsi="宋体" w:eastAsia="宋体" w:cs="Times New Roman"/>
                <w:color w:val="000000"/>
                <w:kern w:val="2"/>
                <w:sz w:val="21"/>
                <w:szCs w:val="21"/>
                <w:lang w:val="en-US" w:eastAsia="zh-CN" w:bidi="ar-SA"/>
              </w:rPr>
              <w:t>动车组跨接电缆维修</w:t>
            </w:r>
          </w:p>
        </w:tc>
        <w:tc>
          <w:tcPr>
            <w:tcW w:w="669"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宋体" w:hAnsi="宋体"/>
                <w:b/>
                <w:color w:val="000000"/>
                <w:szCs w:val="21"/>
                <w:lang w:val="de-DE"/>
              </w:rPr>
              <w:t>GB/T19001-2016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b/>
                    <w:color w:val="000000"/>
                    <w:szCs w:val="21"/>
                    <w:lang w:val="de-DE"/>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val="de-DE"/>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夏爱俭</w:t>
            </w:r>
          </w:p>
        </w:tc>
        <w:tc>
          <w:tcPr>
            <w:tcW w:w="1089" w:type="dxa"/>
            <w:vAlign w:val="center"/>
          </w:tcPr>
          <w:p>
            <w:r>
              <w:t>组长</w:t>
            </w:r>
          </w:p>
        </w:tc>
        <w:tc>
          <w:tcPr>
            <w:tcW w:w="711" w:type="dxa"/>
            <w:vAlign w:val="center"/>
          </w:tcPr>
          <w:p>
            <w:r>
              <w:t>女</w:t>
            </w:r>
          </w:p>
        </w:tc>
        <w:tc>
          <w:tcPr>
            <w:tcW w:w="3870" w:type="dxa"/>
            <w:vAlign w:val="center"/>
          </w:tcPr>
          <w:p>
            <w:r>
              <w:t>2020-N1QMS-1226516</w:t>
            </w:r>
          </w:p>
        </w:tc>
        <w:tc>
          <w:tcPr>
            <w:tcW w:w="2179" w:type="dxa"/>
            <w:vAlign w:val="center"/>
          </w:tcPr>
          <w:p>
            <w:r>
              <w:t>22.04.00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组员</w:t>
            </w:r>
          </w:p>
        </w:tc>
        <w:tc>
          <w:tcPr>
            <w:tcW w:w="711" w:type="dxa"/>
            <w:vAlign w:val="center"/>
          </w:tcPr>
          <w:p>
            <w:r>
              <w:t>男</w:t>
            </w:r>
          </w:p>
        </w:tc>
        <w:tc>
          <w:tcPr>
            <w:tcW w:w="3870" w:type="dxa"/>
            <w:vAlign w:val="center"/>
          </w:tcPr>
          <w:p>
            <w:r>
              <w:t>2019-N1QMS-1244880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val="de-DE"/>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QMS</w:t>
            </w:r>
          </w:p>
        </w:tc>
        <w:tc>
          <w:tcPr>
            <w:tcW w:w="1698" w:type="dxa"/>
          </w:tcPr>
          <w:p>
            <w:pPr>
              <w:jc w:val="center"/>
              <w:rPr>
                <w:rFonts w:hint="eastAsia" w:eastAsia="宋体"/>
                <w:lang w:val="en-US" w:eastAsia="zh-CN"/>
              </w:rPr>
            </w:pPr>
            <w:r>
              <w:rPr>
                <w:rFonts w:hint="eastAsia"/>
                <w:lang w:val="en-US" w:eastAsia="zh-CN"/>
              </w:rPr>
              <w:t>2</w:t>
            </w:r>
          </w:p>
        </w:tc>
        <w:tc>
          <w:tcPr>
            <w:tcW w:w="1717" w:type="dxa"/>
          </w:tcPr>
          <w:p>
            <w:pPr>
              <w:jc w:val="center"/>
              <w:rPr>
                <w:rFonts w:hint="eastAsia" w:eastAsia="宋体"/>
                <w:lang w:val="en-US" w:eastAsia="zh-CN"/>
              </w:rPr>
            </w:pPr>
            <w:r>
              <w:rPr>
                <w:rFonts w:hint="eastAsia"/>
                <w:lang w:val="en-US" w:eastAsia="zh-CN"/>
              </w:rPr>
              <w:t>0</w:t>
            </w:r>
          </w:p>
        </w:tc>
        <w:tc>
          <w:tcPr>
            <w:tcW w:w="1560" w:type="dxa"/>
          </w:tcPr>
          <w:p>
            <w:pPr>
              <w:jc w:val="center"/>
              <w:rPr>
                <w:rFonts w:hint="eastAsia" w:eastAsia="宋体"/>
                <w:lang w:val="en-US" w:eastAsia="zh-CN"/>
              </w:rPr>
            </w:pPr>
            <w:r>
              <w:rPr>
                <w:rFonts w:hint="eastAsia"/>
                <w:lang w:val="en-US" w:eastAsia="zh-CN"/>
              </w:rPr>
              <w:t>2</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8" w:name="Q勾选Add2"/>
            <w:r>
              <w:rPr>
                <w:rFonts w:hint="eastAsia"/>
              </w:rPr>
              <w:t>■</w:t>
            </w:r>
            <w:bookmarkEnd w:id="28"/>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E勾选Add2"/>
            <w:r>
              <w:rPr>
                <w:rFonts w:hint="eastAsia"/>
              </w:rPr>
              <w:t>□</w:t>
            </w:r>
            <w:bookmarkEnd w:id="2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S勾选Add2"/>
            <w:r>
              <w:rPr>
                <w:rFonts w:hint="eastAsia"/>
              </w:rPr>
              <w:t>□</w:t>
            </w:r>
            <w:bookmarkEnd w:id="3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val="de-DE"/>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A3"/>
            </w:r>
            <w:r>
              <w:rPr>
                <w:rFonts w:hint="eastAsia"/>
              </w:rPr>
              <w:t>推荐认证注册(</w:t>
            </w:r>
            <w:r>
              <w:rPr>
                <w:rFonts w:hint="eastAsia"/>
              </w:rPr>
              <w:sym w:font="Wingdings 2" w:char="00A3"/>
            </w:r>
            <w:r>
              <w:rPr>
                <w:rFonts w:hint="eastAsia"/>
              </w:rPr>
              <w:t>初审</w:t>
            </w:r>
            <w:r>
              <w:rPr>
                <w:rFonts w:hint="eastAsia"/>
              </w:rPr>
              <w:sym w:font="Wingdings 2" w:char="00A3"/>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ascii="宋体" w:hAnsi="宋体"/>
                <w:b/>
                <w:color w:val="000000"/>
                <w:szCs w:val="21"/>
              </w:rPr>
              <w:drawing>
                <wp:anchor distT="0" distB="0" distL="114300" distR="114300" simplePos="0" relativeHeight="251660288" behindDoc="0" locked="0" layoutInCell="1" allowOverlap="1">
                  <wp:simplePos x="0" y="0"/>
                  <wp:positionH relativeFrom="column">
                    <wp:posOffset>139700</wp:posOffset>
                  </wp:positionH>
                  <wp:positionV relativeFrom="paragraph">
                    <wp:posOffset>28575</wp:posOffset>
                  </wp:positionV>
                  <wp:extent cx="669290" cy="288290"/>
                  <wp:effectExtent l="0" t="0" r="16510" b="16510"/>
                  <wp:wrapNone/>
                  <wp:docPr id="5" name="图片 5" descr="微信图片_2021100810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1008103236"/>
                          <pic:cNvPicPr>
                            <a:picLocks noChangeAspect="1"/>
                          </pic:cNvPicPr>
                        </pic:nvPicPr>
                        <pic:blipFill>
                          <a:blip r:embed="rId6"/>
                          <a:stretch>
                            <a:fillRect/>
                          </a:stretch>
                        </pic:blipFill>
                        <pic:spPr>
                          <a:xfrm>
                            <a:off x="0" y="0"/>
                            <a:ext cx="669290" cy="288290"/>
                          </a:xfrm>
                          <a:prstGeom prst="rect">
                            <a:avLst/>
                          </a:prstGeom>
                        </pic:spPr>
                      </pic:pic>
                    </a:graphicData>
                  </a:graphic>
                </wp:anchor>
              </w:drawing>
            </w:r>
          </w:p>
          <w:p/>
        </w:tc>
        <w:tc>
          <w:tcPr>
            <w:tcW w:w="2764" w:type="dxa"/>
            <w:tcMar>
              <w:left w:w="113" w:type="dxa"/>
            </w:tcMar>
          </w:tcPr>
          <w:p>
            <w:pPr>
              <w:rPr>
                <w:rFonts w:hint="default" w:eastAsia="宋体"/>
                <w:lang w:val="en-US" w:eastAsia="zh-CN"/>
              </w:rPr>
            </w:pPr>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2021年10月9日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keepNext w:val="0"/>
        <w:keepLines w:val="0"/>
        <w:pageBreakBefore/>
        <w:widowControl w:val="0"/>
        <w:kinsoku/>
        <w:wordWrap/>
        <w:overflowPunct/>
        <w:topLinePunct w:val="0"/>
        <w:autoSpaceDE/>
        <w:autoSpaceDN/>
        <w:bidi w:val="0"/>
        <w:adjustRightInd/>
        <w:snapToGrid/>
        <w:textAlignment w:val="auto"/>
        <w:rPr>
          <w:shd w:val="clear" w:color="FFFFFF" w:fill="D9D9D9"/>
        </w:rPr>
      </w:pPr>
      <w:bookmarkStart w:id="31" w:name="_GoBack"/>
      <w:bookmarkEnd w:id="31"/>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val="de-DE"/>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val="de-DE"/>
                    </w:rPr>
                    <w:t>■</w:t>
                  </w:r>
                  <w:r>
                    <w:rPr>
                      <w:rFonts w:hint="eastAsia"/>
                    </w:rPr>
                    <w:t>法律法规</w:t>
                  </w:r>
                  <w:r>
                    <w:rPr>
                      <w:rFonts w:hint="eastAsia"/>
                      <w:lang w:val="de-DE"/>
                    </w:rPr>
                    <w:t>■</w:t>
                  </w:r>
                  <w:r>
                    <w:rPr>
                      <w:rFonts w:hint="eastAsia"/>
                    </w:rPr>
                    <w:t>技术</w:t>
                  </w:r>
                  <w:r>
                    <w:rPr>
                      <w:rFonts w:hint="eastAsia"/>
                      <w:lang w:val="de-DE"/>
                    </w:rPr>
                    <w:t>■</w:t>
                  </w:r>
                  <w:r>
                    <w:rPr>
                      <w:rFonts w:hint="eastAsia"/>
                    </w:rPr>
                    <w:t>竞争</w:t>
                  </w:r>
                  <w:r>
                    <w:rPr>
                      <w:rFonts w:hint="eastAsia"/>
                      <w:lang w:val="de-DE"/>
                    </w:rPr>
                    <w:t>■</w:t>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lang w:val="de-DE"/>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lang w:val="de-DE"/>
                    </w:rPr>
                    <w:t>■</w:t>
                  </w:r>
                  <w:r>
                    <w:rPr>
                      <w:rFonts w:hint="eastAsia"/>
                    </w:rPr>
                    <w:t>文化</w:t>
                  </w:r>
                  <w:r>
                    <w:rPr>
                      <w:rFonts w:hint="eastAsia"/>
                      <w:lang w:val="de-DE"/>
                    </w:rPr>
                    <w:t>■</w:t>
                  </w:r>
                  <w:r>
                    <w:rPr>
                      <w:rFonts w:hint="eastAsia"/>
                    </w:rPr>
                    <w:t>知识</w:t>
                  </w:r>
                  <w:r>
                    <w:rPr>
                      <w:rFonts w:hint="eastAsia"/>
                      <w:lang w:val="de-DE"/>
                    </w:rPr>
                    <w:t>■</w:t>
                  </w:r>
                  <w:r>
                    <w:rPr>
                      <w:rFonts w:hint="eastAsia"/>
                    </w:rPr>
                    <w:t>绩效</w:t>
                  </w:r>
                  <w:r>
                    <w:rPr>
                      <w:rFonts w:hint="eastAsia"/>
                      <w:lang w:val="de-DE"/>
                    </w:rPr>
                    <w:t>■</w:t>
                  </w:r>
                  <w:r>
                    <w:rPr>
                      <w:rFonts w:hint="eastAsia"/>
                    </w:rPr>
                    <w:t>工艺</w:t>
                  </w:r>
                  <w:r>
                    <w:rPr>
                      <w:rFonts w:hint="eastAsia"/>
                      <w:lang w:val="de-DE"/>
                    </w:rPr>
                    <w:t>■</w:t>
                  </w:r>
                  <w:r>
                    <w:rPr>
                      <w:rFonts w:hint="eastAsia"/>
                    </w:rPr>
                    <w:t>设备</w:t>
                  </w:r>
                  <w:r>
                    <w:rPr>
                      <w:rFonts w:hint="eastAsia"/>
                      <w:lang w:val="de-DE"/>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val="de-DE"/>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val="de-DE"/>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val="de-DE"/>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val="de-DE"/>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val="de-DE"/>
              </w:rPr>
              <w:t>■</w:t>
            </w:r>
            <w:r>
              <w:rPr>
                <w:rFonts w:hint="eastAsia"/>
              </w:rPr>
              <w:t>市场拓展</w:t>
            </w:r>
            <w:r>
              <w:rPr>
                <w:rFonts w:hint="eastAsia"/>
                <w:lang w:val="de-DE"/>
              </w:rPr>
              <w:t>■</w:t>
            </w:r>
            <w:r>
              <w:rPr>
                <w:rFonts w:hint="eastAsia"/>
              </w:rPr>
              <w:t>设备能力</w:t>
            </w:r>
            <w:r>
              <w:rPr>
                <w:rFonts w:hint="eastAsia"/>
                <w:lang w:val="de-DE"/>
              </w:rPr>
              <w:t>■</w:t>
            </w:r>
            <w:r>
              <w:rPr>
                <w:rFonts w:hint="eastAsia"/>
              </w:rPr>
              <w:t>人员能力</w:t>
            </w:r>
            <w:r>
              <w:rPr>
                <w:rFonts w:hint="eastAsia"/>
                <w:lang w:val="de-DE"/>
              </w:rPr>
              <w:t>■</w:t>
            </w:r>
            <w:r>
              <w:rPr>
                <w:rFonts w:hint="eastAsia"/>
              </w:rPr>
              <w:t>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lang w:val="de-DE"/>
              </w:rPr>
              <w:t>■</w:t>
            </w:r>
            <w:r>
              <w:rPr>
                <w:rFonts w:hint="eastAsia"/>
              </w:rPr>
              <w:t>外部供方控制</w:t>
            </w:r>
            <w:r>
              <w:rPr>
                <w:rFonts w:hint="eastAsia"/>
                <w:lang w:val="de-DE"/>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w:t>
            </w:r>
            <w:r>
              <w:rPr>
                <w:rFonts w:hint="eastAsia"/>
                <w:lang w:val="de-DE"/>
              </w:rPr>
              <w:t>■</w:t>
            </w:r>
            <w:r>
              <w:rPr>
                <w:rFonts w:hint="eastAsia"/>
              </w:rPr>
              <w:t>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val="de-DE"/>
              </w:rPr>
              <w:t>■</w:t>
            </w:r>
            <w:r>
              <w:rPr>
                <w:rFonts w:hint="eastAsia"/>
              </w:rPr>
              <w:t>以身作则</w:t>
            </w:r>
            <w:r>
              <w:rPr>
                <w:rFonts w:hint="eastAsia"/>
                <w:lang w:val="de-DE"/>
              </w:rPr>
              <w:t>■</w:t>
            </w:r>
            <w:r>
              <w:rPr>
                <w:rFonts w:hint="eastAsia"/>
              </w:rPr>
              <w:t>建立机制</w:t>
            </w:r>
            <w:r>
              <w:rPr>
                <w:rFonts w:hint="eastAsia"/>
                <w:lang w:val="de-DE"/>
              </w:rPr>
              <w:t>■</w:t>
            </w:r>
            <w:r>
              <w:rPr>
                <w:rFonts w:hint="eastAsia"/>
              </w:rPr>
              <w:t>法规宣传</w:t>
            </w:r>
            <w:r>
              <w:rPr>
                <w:rFonts w:hint="eastAsia"/>
                <w:lang w:val="de-DE"/>
              </w:rPr>
              <w:t>■</w:t>
            </w:r>
            <w:r>
              <w:rPr>
                <w:rFonts w:hint="eastAsia"/>
              </w:rPr>
              <w:t>风险机遇的应对</w:t>
            </w:r>
            <w:r>
              <w:rPr>
                <w:rFonts w:hint="eastAsia"/>
                <w:lang w:val="de-DE"/>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ind w:firstLine="420" w:firstLineChars="200"/>
            </w:pPr>
            <w:r>
              <w:rPr>
                <w:rFonts w:hint="eastAsia" w:ascii="Times New Roman" w:hAnsi="Times New Roman" w:eastAsia="宋体" w:cs="Times New Roman"/>
                <w:lang w:val="en-GB"/>
              </w:rPr>
              <w:t>严格管理、精心服务、持续改进、用户满意</w:t>
            </w:r>
            <w:r>
              <w:rPr>
                <w:rFonts w:ascii="宋体" w:hAnsi="宋体"/>
                <w:b/>
                <w:sz w:val="28"/>
                <w:szCs w:val="28"/>
              </w:rPr>
              <w:br w:type="textWrapping"/>
            </w: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rPr>
                  </w:pPr>
                  <w:r>
                    <w:rPr>
                      <w:rFonts w:hint="eastAsia"/>
                      <w:b/>
                    </w:rPr>
                    <w:t>风险：</w:t>
                  </w:r>
                  <w:r>
                    <w:rPr>
                      <w:rFonts w:hint="eastAsia"/>
                    </w:rPr>
                    <w:t>公司产品配件在铁路区域进行销售，公司对当地国的法律法规是否充分收集评估，并转化为公司制度执行，符合新法规要求</w:t>
                  </w:r>
                </w:p>
                <w:p>
                  <w:pPr>
                    <w:shd w:val="clear" w:color="auto" w:fill="C7DAF1" w:themeFill="text2" w:themeFillTint="32"/>
                  </w:pPr>
                  <w:r>
                    <w:rPr>
                      <w:rFonts w:hint="eastAsia"/>
                      <w:b/>
                    </w:rPr>
                    <w:t>机遇：</w:t>
                  </w:r>
                  <w:r>
                    <w:rPr>
                      <w:rFonts w:hint="eastAsia"/>
                    </w:rPr>
                    <w:t>公司产品机构调整，给公司带来潜在的客户</w:t>
                  </w:r>
                </w:p>
              </w:tc>
              <w:tc>
                <w:tcPr>
                  <w:tcW w:w="3965" w:type="dxa"/>
                </w:tcPr>
                <w:p>
                  <w:pPr>
                    <w:shd w:val="clear" w:color="auto" w:fill="C7DAF1" w:themeFill="text2" w:themeFillTint="32"/>
                    <w:rPr>
                      <w:rFonts w:hint="eastAsia"/>
                      <w:lang w:eastAsia="zh-CN"/>
                    </w:rPr>
                  </w:pPr>
                  <w:r>
                    <w:rPr>
                      <w:rFonts w:hint="eastAsia"/>
                    </w:rPr>
                    <w:t>1.主要职能部门按照要求加强相关产品销售区域所在地法律法规的收集评价</w:t>
                  </w:r>
                  <w:r>
                    <w:rPr>
                      <w:rFonts w:hint="eastAsia"/>
                      <w:lang w:eastAsia="zh-CN"/>
                    </w:rPr>
                    <w:t>。</w:t>
                  </w:r>
                </w:p>
                <w:p>
                  <w:pPr>
                    <w:pStyle w:val="2"/>
                    <w:rPr>
                      <w:rFonts w:hint="eastAsia"/>
                      <w:lang w:eastAsia="zh-CN"/>
                    </w:rPr>
                  </w:pPr>
                  <w:r>
                    <w:rPr>
                      <w:rFonts w:hint="eastAsia"/>
                    </w:rPr>
                    <w:t>2.</w:t>
                  </w:r>
                  <w:r>
                    <w:rPr>
                      <w:rFonts w:hint="eastAsia"/>
                      <w:lang w:val="en-US" w:eastAsia="zh-CN"/>
                    </w:rPr>
                    <w:t>供销部</w:t>
                  </w:r>
                  <w:r>
                    <w:rPr>
                      <w:rFonts w:hint="eastAsia"/>
                    </w:rPr>
                    <w:t>加大市场开拓</w:t>
                  </w: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rPr>
                  </w:pPr>
                  <w:r>
                    <w:rPr>
                      <w:rFonts w:hint="eastAsia"/>
                      <w:b/>
                    </w:rPr>
                    <w:t>风险：</w:t>
                  </w:r>
                  <w:r>
                    <w:rPr>
                      <w:rFonts w:hint="eastAsia"/>
                    </w:rPr>
                    <w:t>客户对产品质量标准提高，以及对供应周期和售后服务的期望值提升，给公司生产、质量和售后管理提出新的要求</w:t>
                  </w:r>
                </w:p>
                <w:p>
                  <w:pPr>
                    <w:shd w:val="clear" w:color="auto" w:fill="C7DAF1" w:themeFill="text2" w:themeFillTint="32"/>
                  </w:pPr>
                  <w:r>
                    <w:rPr>
                      <w:rFonts w:hint="eastAsia"/>
                      <w:b/>
                    </w:rPr>
                    <w:t>机遇：</w:t>
                  </w:r>
                  <w:r>
                    <w:rPr>
                      <w:rFonts w:hint="eastAsia"/>
                    </w:rPr>
                    <w:t>市场竞争的加剧，公司管理水平的提升，会给公司带来潜在的发展机遇</w:t>
                  </w:r>
                </w:p>
              </w:tc>
              <w:tc>
                <w:tcPr>
                  <w:tcW w:w="3965" w:type="dxa"/>
                </w:tcPr>
                <w:p>
                  <w:pPr>
                    <w:shd w:val="clear" w:color="auto" w:fill="C7DAF1" w:themeFill="text2" w:themeFillTint="32"/>
                    <w:rPr>
                      <w:rFonts w:hint="eastAsia"/>
                    </w:rPr>
                  </w:pPr>
                  <w:r>
                    <w:rPr>
                      <w:rFonts w:hint="eastAsia"/>
                    </w:rPr>
                    <w:t>1.供销部加强与客户进行质量标准制定的沟通，统一双方的标准和检测方法</w:t>
                  </w:r>
                </w:p>
                <w:p>
                  <w:pPr>
                    <w:shd w:val="clear" w:color="auto" w:fill="C7DAF1" w:themeFill="text2" w:themeFillTint="32"/>
                    <w:rPr>
                      <w:rFonts w:hint="eastAsia"/>
                    </w:rPr>
                  </w:pPr>
                  <w:r>
                    <w:rPr>
                      <w:rFonts w:hint="eastAsia"/>
                    </w:rPr>
                    <w:t>2.生产部门做好生产计划的安排，保证生产计划的执行</w:t>
                  </w:r>
                </w:p>
                <w:p>
                  <w:pPr>
                    <w:pStyle w:val="2"/>
                  </w:pPr>
                  <w:r>
                    <w:rPr>
                      <w:rFonts w:hint="eastAsia"/>
                    </w:rPr>
                    <w:t>3.供销部加大客户交流沟通，及时处理客户的需求和意见</w:t>
                  </w: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rPr>
                  </w:pPr>
                  <w:r>
                    <w:rPr>
                      <w:rFonts w:hint="eastAsia"/>
                      <w:b/>
                    </w:rPr>
                    <w:t>风险：</w:t>
                  </w:r>
                  <w:r>
                    <w:rPr>
                      <w:rFonts w:hint="eastAsia"/>
                    </w:rPr>
                    <w:t xml:space="preserve">目前公司原材料供应稳定。 </w:t>
                  </w:r>
                </w:p>
                <w:p>
                  <w:pPr>
                    <w:shd w:val="clear" w:color="auto" w:fill="C7DAF1" w:themeFill="text2" w:themeFillTint="32"/>
                  </w:pPr>
                  <w:r>
                    <w:rPr>
                      <w:rFonts w:hint="eastAsia"/>
                      <w:b/>
                    </w:rPr>
                    <w:t>机遇：</w:t>
                  </w:r>
                  <w:r>
                    <w:rPr>
                      <w:rFonts w:hint="eastAsia"/>
                    </w:rPr>
                    <w:t>原料供应变动给公司带来不稳定因素较大。</w:t>
                  </w:r>
                </w:p>
              </w:tc>
              <w:tc>
                <w:tcPr>
                  <w:tcW w:w="3965" w:type="dxa"/>
                </w:tcPr>
                <w:p>
                  <w:pPr>
                    <w:rPr>
                      <w:rFonts w:hint="eastAsia"/>
                    </w:rPr>
                  </w:pPr>
                  <w:r>
                    <w:rPr>
                      <w:rFonts w:hint="eastAsia"/>
                    </w:rPr>
                    <w:t>1.供销部要提前制定好原材料采购计划，拓展原料采购的渠道，保证优质原料的供应。</w:t>
                  </w:r>
                </w:p>
                <w:p>
                  <w:pPr>
                    <w:rPr>
                      <w:rFonts w:hint="eastAsia"/>
                    </w:rPr>
                  </w:pPr>
                  <w:r>
                    <w:rPr>
                      <w:rFonts w:hint="eastAsia"/>
                    </w:rPr>
                    <w:t>2.公司提供财务支持，对主要供应商的优质原料保持价格优势，促进原料的有序采购；</w:t>
                  </w:r>
                </w:p>
                <w:p>
                  <w:pPr>
                    <w:shd w:val="clear" w:color="auto" w:fill="C7DAF1" w:themeFill="text2" w:themeFillTint="32"/>
                  </w:pPr>
                  <w:r>
                    <w:rPr>
                      <w:rFonts w:hint="eastAsia"/>
                    </w:rPr>
                    <w:t>3.仓库管理员做好到货原料的库位安排，保证到货的原料能及时入库</w:t>
                  </w: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pacing w:line="500" w:lineRule="exact"/>
                    <w:rPr>
                      <w:rFonts w:hint="eastAsia" w:ascii="宋体" w:hAnsi="宋体" w:eastAsia="宋体" w:cs="宋体"/>
                      <w:b w:val="0"/>
                      <w:bCs/>
                      <w:sz w:val="21"/>
                      <w:szCs w:val="21"/>
                    </w:rPr>
                  </w:pPr>
                  <w:r>
                    <w:rPr>
                      <w:rFonts w:hint="eastAsia" w:ascii="宋体" w:hAnsi="宋体" w:eastAsia="宋体" w:cs="宋体"/>
                      <w:b w:val="0"/>
                      <w:bCs/>
                      <w:sz w:val="21"/>
                      <w:szCs w:val="21"/>
                    </w:rPr>
                    <w:t>产品交付合格率99%</w:t>
                  </w:r>
                </w:p>
              </w:tc>
              <w:tc>
                <w:tcPr>
                  <w:tcW w:w="3136" w:type="dxa"/>
                  <w:shd w:val="clear" w:color="auto" w:fill="auto"/>
                  <w:vAlign w:val="center"/>
                </w:tcPr>
                <w:p>
                  <w:pPr>
                    <w:shd w:val="clear" w:color="auto" w:fill="C7DAF1" w:themeFill="text2" w:themeFillTint="32"/>
                    <w:rPr>
                      <w:sz w:val="21"/>
                      <w:szCs w:val="21"/>
                      <w:lang w:val="en-GB"/>
                    </w:rPr>
                  </w:pPr>
                  <w:r>
                    <w:rPr>
                      <w:rFonts w:hint="eastAsia" w:ascii="宋体" w:hAnsi="宋体"/>
                      <w:sz w:val="21"/>
                      <w:szCs w:val="21"/>
                    </w:rPr>
                    <w:t>交验合格产品数╱交验产品</w:t>
                  </w:r>
                  <w:r>
                    <w:rPr>
                      <w:rFonts w:hint="eastAsia" w:ascii="宋体" w:hAnsi="宋体"/>
                      <w:sz w:val="21"/>
                      <w:szCs w:val="21"/>
                      <w:lang w:val="en-US" w:eastAsia="zh-CN"/>
                    </w:rPr>
                    <w:t>总</w:t>
                  </w:r>
                  <w:r>
                    <w:rPr>
                      <w:rFonts w:hint="eastAsia" w:ascii="宋体" w:hAnsi="宋体"/>
                      <w:sz w:val="21"/>
                      <w:szCs w:val="21"/>
                    </w:rPr>
                    <w:t>数</w:t>
                  </w:r>
                  <w:r>
                    <w:rPr>
                      <w:rFonts w:hint="default" w:ascii="Arial" w:hAnsi="Arial" w:cs="Arial"/>
                      <w:sz w:val="21"/>
                      <w:szCs w:val="21"/>
                    </w:rPr>
                    <w:t>×</w:t>
                  </w:r>
                  <w:r>
                    <w:rPr>
                      <w:rFonts w:hint="eastAsia" w:ascii="宋体" w:hAnsi="宋体"/>
                      <w:sz w:val="21"/>
                      <w:szCs w:val="21"/>
                    </w:rPr>
                    <w:t xml:space="preserve"> 100%</w:t>
                  </w:r>
                </w:p>
              </w:tc>
              <w:tc>
                <w:tcPr>
                  <w:tcW w:w="1350" w:type="dxa"/>
                  <w:shd w:val="clear" w:color="auto" w:fill="auto"/>
                  <w:vAlign w:val="center"/>
                </w:tcPr>
                <w:p>
                  <w:pPr>
                    <w:shd w:val="clear" w:color="auto" w:fill="C7DAF1" w:themeFill="text2" w:themeFillTint="32"/>
                    <w:rPr>
                      <w:rFonts w:hint="default" w:eastAsia="宋体"/>
                      <w:sz w:val="21"/>
                      <w:szCs w:val="21"/>
                      <w:lang w:val="en-US" w:eastAsia="zh-CN"/>
                    </w:rPr>
                  </w:pPr>
                  <w:r>
                    <w:rPr>
                      <w:rFonts w:hint="eastAsia"/>
                      <w:sz w:val="21"/>
                      <w:szCs w:val="21"/>
                      <w:lang w:val="en-US" w:eastAsia="zh-CN"/>
                    </w:rPr>
                    <w:t>生产技术部</w:t>
                  </w:r>
                </w:p>
              </w:tc>
              <w:tc>
                <w:tcPr>
                  <w:tcW w:w="1774" w:type="dxa"/>
                  <w:shd w:val="clear" w:color="auto" w:fill="auto"/>
                  <w:vAlign w:val="center"/>
                </w:tcPr>
                <w:p>
                  <w:pPr>
                    <w:shd w:val="clear" w:color="auto" w:fill="C7DAF1" w:themeFill="text2" w:themeFillTint="32"/>
                    <w:jc w:val="center"/>
                    <w:rPr>
                      <w:rFonts w:hint="default" w:ascii="宋体" w:hAnsi="宋体" w:eastAsia="宋体"/>
                      <w:sz w:val="21"/>
                      <w:szCs w:val="21"/>
                      <w:lang w:val="en-US" w:eastAsia="zh-CN"/>
                    </w:rPr>
                  </w:pPr>
                  <w:r>
                    <w:rPr>
                      <w:rFonts w:hint="eastAsia" w:ascii="宋体" w:hAnsi="宋体"/>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eastAsia="宋体" w:cs="宋体"/>
                      <w:b w:val="0"/>
                      <w:bCs/>
                      <w:sz w:val="21"/>
                      <w:szCs w:val="21"/>
                    </w:rPr>
                  </w:pPr>
                  <w:r>
                    <w:rPr>
                      <w:rFonts w:hint="eastAsia" w:ascii="宋体" w:hAnsi="宋体" w:eastAsia="宋体" w:cs="宋体"/>
                      <w:b w:val="0"/>
                      <w:bCs/>
                      <w:sz w:val="21"/>
                      <w:szCs w:val="21"/>
                    </w:rPr>
                    <w:t>交货期满意率90% </w:t>
                  </w:r>
                </w:p>
              </w:tc>
              <w:tc>
                <w:tcPr>
                  <w:tcW w:w="3136" w:type="dxa"/>
                  <w:shd w:val="clear" w:color="auto" w:fill="auto"/>
                  <w:vAlign w:val="center"/>
                </w:tcPr>
                <w:p>
                  <w:pPr>
                    <w:shd w:val="clear" w:color="auto" w:fill="C7DAF1" w:themeFill="text2" w:themeFillTint="32"/>
                    <w:rPr>
                      <w:rFonts w:ascii="宋体" w:hAnsi="宋体"/>
                      <w:sz w:val="21"/>
                      <w:szCs w:val="21"/>
                    </w:rPr>
                  </w:pPr>
                  <w:r>
                    <w:rPr>
                      <w:rFonts w:hint="eastAsia" w:ascii="宋体" w:hAnsi="宋体"/>
                      <w:sz w:val="21"/>
                      <w:szCs w:val="21"/>
                      <w:lang w:val="en-US" w:eastAsia="zh-CN"/>
                    </w:rPr>
                    <w:t>实际交货满意数</w:t>
                  </w:r>
                  <w:r>
                    <w:rPr>
                      <w:rFonts w:hint="eastAsia" w:ascii="宋体" w:hAnsi="宋体"/>
                      <w:sz w:val="21"/>
                      <w:szCs w:val="21"/>
                    </w:rPr>
                    <w:t>╱</w:t>
                  </w:r>
                  <w:r>
                    <w:rPr>
                      <w:rFonts w:hint="eastAsia" w:ascii="宋体" w:hAnsi="宋体"/>
                      <w:sz w:val="21"/>
                      <w:szCs w:val="21"/>
                      <w:lang w:val="en-US" w:eastAsia="zh-CN"/>
                    </w:rPr>
                    <w:t>总交货</w:t>
                  </w:r>
                  <w:r>
                    <w:rPr>
                      <w:rFonts w:hint="eastAsia" w:ascii="宋体" w:hAnsi="宋体"/>
                      <w:sz w:val="21"/>
                      <w:szCs w:val="21"/>
                    </w:rPr>
                    <w:t xml:space="preserve">数 </w:t>
                  </w:r>
                  <w:r>
                    <w:rPr>
                      <w:rFonts w:hint="default" w:ascii="Arial" w:hAnsi="Arial" w:cs="Arial"/>
                      <w:sz w:val="21"/>
                      <w:szCs w:val="21"/>
                    </w:rPr>
                    <w:t>×</w:t>
                  </w:r>
                  <w:r>
                    <w:rPr>
                      <w:rFonts w:hint="eastAsia" w:ascii="宋体" w:hAnsi="宋体"/>
                      <w:sz w:val="21"/>
                      <w:szCs w:val="21"/>
                    </w:rPr>
                    <w:t xml:space="preserve"> 100%</w:t>
                  </w:r>
                </w:p>
              </w:tc>
              <w:tc>
                <w:tcPr>
                  <w:tcW w:w="1350" w:type="dxa"/>
                  <w:shd w:val="clear" w:color="auto" w:fill="auto"/>
                  <w:vAlign w:val="center"/>
                </w:tcPr>
                <w:p>
                  <w:pPr>
                    <w:shd w:val="clear" w:color="auto" w:fill="C7DAF1" w:themeFill="text2" w:themeFillTint="32"/>
                    <w:rPr>
                      <w:rFonts w:hint="default" w:ascii="宋体" w:hAnsi="宋体" w:eastAsia="宋体"/>
                      <w:sz w:val="21"/>
                      <w:szCs w:val="21"/>
                      <w:lang w:val="en-US" w:eastAsia="zh-CN"/>
                    </w:rPr>
                  </w:pPr>
                  <w:r>
                    <w:rPr>
                      <w:rFonts w:hint="eastAsia" w:ascii="宋体" w:hAnsi="宋体"/>
                      <w:sz w:val="21"/>
                      <w:szCs w:val="21"/>
                      <w:lang w:val="en-US" w:eastAsia="zh-CN"/>
                    </w:rPr>
                    <w:t>供销部</w:t>
                  </w:r>
                </w:p>
              </w:tc>
              <w:tc>
                <w:tcPr>
                  <w:tcW w:w="1774" w:type="dxa"/>
                  <w:shd w:val="clear" w:color="auto" w:fill="auto"/>
                  <w:vAlign w:val="center"/>
                </w:tcPr>
                <w:p>
                  <w:pPr>
                    <w:shd w:val="clear" w:color="auto" w:fill="C7DAF1" w:themeFill="text2" w:themeFillTint="32"/>
                    <w:jc w:val="center"/>
                    <w:rPr>
                      <w:rFonts w:hint="default" w:ascii="宋体" w:hAnsi="宋体" w:eastAsia="宋体"/>
                      <w:sz w:val="21"/>
                      <w:szCs w:val="21"/>
                      <w:lang w:val="en-US" w:eastAsia="zh-CN"/>
                    </w:rPr>
                  </w:pPr>
                  <w:r>
                    <w:rPr>
                      <w:rFonts w:hint="eastAsia" w:ascii="宋体" w:hAnsi="宋体"/>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eastAsia="宋体" w:cs="宋体"/>
                      <w:b w:val="0"/>
                      <w:bCs/>
                      <w:sz w:val="21"/>
                      <w:szCs w:val="21"/>
                    </w:rPr>
                  </w:pPr>
                  <w:r>
                    <w:rPr>
                      <w:rFonts w:hint="eastAsia" w:ascii="宋体" w:hAnsi="宋体" w:eastAsia="宋体" w:cs="宋体"/>
                      <w:b w:val="0"/>
                      <w:bCs/>
                      <w:sz w:val="21"/>
                      <w:szCs w:val="21"/>
                    </w:rPr>
                    <w:t>相关方满意率95%以上</w:t>
                  </w:r>
                </w:p>
              </w:tc>
              <w:tc>
                <w:tcPr>
                  <w:tcW w:w="3136" w:type="dxa"/>
                  <w:shd w:val="clear" w:color="auto" w:fill="auto"/>
                  <w:vAlign w:val="center"/>
                </w:tcPr>
                <w:p>
                  <w:pPr>
                    <w:shd w:val="clear" w:color="auto" w:fill="C7DAF1" w:themeFill="text2" w:themeFillTint="32"/>
                    <w:rPr>
                      <w:rFonts w:ascii="宋体" w:hAnsi="宋体"/>
                      <w:sz w:val="21"/>
                      <w:szCs w:val="21"/>
                    </w:rPr>
                  </w:pPr>
                  <w:r>
                    <w:rPr>
                      <w:rFonts w:hint="eastAsia" w:ascii="宋体" w:hAnsi="宋体"/>
                      <w:sz w:val="21"/>
                      <w:szCs w:val="21"/>
                    </w:rPr>
                    <w:t xml:space="preserve">满意度总得分╱调查顾客数 </w:t>
                  </w:r>
                  <w:r>
                    <w:rPr>
                      <w:rFonts w:hint="default" w:ascii="Arial" w:hAnsi="Arial" w:cs="Arial"/>
                      <w:sz w:val="21"/>
                      <w:szCs w:val="21"/>
                    </w:rPr>
                    <w:t>×</w:t>
                  </w:r>
                  <w:r>
                    <w:rPr>
                      <w:rFonts w:hint="eastAsia" w:ascii="宋体" w:hAnsi="宋体"/>
                      <w:sz w:val="21"/>
                      <w:szCs w:val="21"/>
                    </w:rPr>
                    <w:t xml:space="preserve"> 100%</w:t>
                  </w:r>
                </w:p>
              </w:tc>
              <w:tc>
                <w:tcPr>
                  <w:tcW w:w="1350" w:type="dxa"/>
                  <w:shd w:val="clear" w:color="auto" w:fill="auto"/>
                  <w:vAlign w:val="center"/>
                </w:tcPr>
                <w:p>
                  <w:pPr>
                    <w:shd w:val="clear" w:color="auto" w:fill="C7DAF1" w:themeFill="text2" w:themeFillTint="32"/>
                    <w:rPr>
                      <w:rFonts w:hint="default" w:ascii="宋体" w:hAnsi="宋体" w:eastAsia="宋体"/>
                      <w:sz w:val="21"/>
                      <w:szCs w:val="21"/>
                      <w:lang w:val="en-US" w:eastAsia="zh-CN"/>
                    </w:rPr>
                  </w:pPr>
                  <w:r>
                    <w:rPr>
                      <w:rFonts w:hint="eastAsia" w:ascii="宋体" w:hAnsi="宋体"/>
                      <w:sz w:val="21"/>
                      <w:szCs w:val="21"/>
                      <w:lang w:val="en-US" w:eastAsia="zh-CN"/>
                    </w:rPr>
                    <w:t>供销部</w:t>
                  </w:r>
                </w:p>
              </w:tc>
              <w:tc>
                <w:tcPr>
                  <w:tcW w:w="1774" w:type="dxa"/>
                  <w:shd w:val="clear" w:color="auto" w:fill="auto"/>
                  <w:vAlign w:val="center"/>
                </w:tcPr>
                <w:p>
                  <w:pPr>
                    <w:shd w:val="clear" w:color="auto" w:fill="C7DAF1" w:themeFill="text2" w:themeFillTint="32"/>
                    <w:jc w:val="center"/>
                    <w:rPr>
                      <w:rFonts w:hint="default" w:ascii="宋体" w:hAnsi="宋体" w:eastAsia="宋体"/>
                      <w:sz w:val="21"/>
                      <w:szCs w:val="21"/>
                      <w:lang w:val="en-US" w:eastAsia="zh-CN"/>
                    </w:rPr>
                  </w:pPr>
                  <w:r>
                    <w:rPr>
                      <w:rFonts w:hint="eastAsia" w:ascii="宋体" w:hAnsi="宋体"/>
                      <w:sz w:val="21"/>
                      <w:szCs w:val="21"/>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lang w:val="de-DE"/>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val="de-DE"/>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val="de-DE"/>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主要生产设备</w:t>
            </w:r>
            <w:r>
              <w:rPr>
                <w:rFonts w:hint="eastAsia" w:ascii="Times New Roman" w:hAnsi="Times New Roman" w:eastAsia="宋体" w:cs="Times New Roman"/>
              </w:rPr>
              <w:t>有：线缆测试机</w:t>
            </w:r>
            <w:r>
              <w:rPr>
                <w:rFonts w:hint="eastAsia" w:ascii="Times New Roman" w:hAnsi="Times New Roman" w:eastAsia="宋体" w:cs="Times New Roman"/>
                <w:lang w:eastAsia="zh-CN"/>
              </w:rPr>
              <w:t>、</w:t>
            </w:r>
            <w:r>
              <w:rPr>
                <w:rFonts w:hint="eastAsia" w:ascii="Times New Roman" w:hAnsi="Times New Roman" w:eastAsia="宋体" w:cs="Times New Roman"/>
              </w:rPr>
              <w:t>线号印字机</w:t>
            </w:r>
            <w:r>
              <w:rPr>
                <w:rFonts w:hint="eastAsia" w:ascii="Times New Roman" w:hAnsi="Times New Roman" w:eastAsia="宋体" w:cs="Times New Roman"/>
                <w:lang w:eastAsia="zh-CN"/>
              </w:rPr>
              <w:t>、</w:t>
            </w:r>
            <w:r>
              <w:rPr>
                <w:rFonts w:hint="eastAsia" w:ascii="Times New Roman" w:hAnsi="Times New Roman" w:eastAsia="宋体" w:cs="Times New Roman"/>
              </w:rPr>
              <w:t>线缆安装架</w:t>
            </w:r>
            <w:r>
              <w:rPr>
                <w:rFonts w:hint="eastAsia" w:ascii="Times New Roman" w:hAnsi="Times New Roman" w:eastAsia="宋体" w:cs="Times New Roman"/>
                <w:lang w:eastAsia="zh-CN"/>
              </w:rPr>
              <w:t>、</w:t>
            </w:r>
            <w:r>
              <w:rPr>
                <w:rFonts w:hint="eastAsia" w:ascii="Times New Roman" w:hAnsi="Times New Roman" w:eastAsia="宋体" w:cs="Times New Roman"/>
              </w:rPr>
              <w:t>线缆清理台</w:t>
            </w:r>
          </w:p>
          <w:p>
            <w:pPr>
              <w:shd w:val="clear" w:color="auto" w:fill="C7DAF1" w:themeFill="text2" w:themeFillTint="32"/>
              <w:rPr>
                <w:rFonts w:hint="eastAsia" w:eastAsia="宋体"/>
                <w:u w:val="single"/>
                <w:lang w:val="en-US" w:eastAsia="zh-CN"/>
              </w:rPr>
            </w:pPr>
            <w:r>
              <w:rPr>
                <w:rFonts w:hint="eastAsia"/>
              </w:rPr>
              <w:t>特种设备：</w:t>
            </w:r>
            <w:r>
              <w:rPr>
                <w:rFonts w:hint="eastAsia"/>
                <w:lang w:val="en-US" w:eastAsia="zh-CN"/>
              </w:rPr>
              <w:t>无</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val="de-DE"/>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w:t>
            </w:r>
            <w:r>
              <w:rPr>
                <w:rFonts w:hint="eastAsia"/>
                <w:color w:val="auto"/>
              </w:rPr>
              <w:t>有</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耐压测试仪、</w:t>
            </w:r>
            <w:r>
              <w:rPr>
                <w:rFonts w:hint="eastAsia" w:ascii="Times New Roman" w:hAnsi="Times New Roman" w:eastAsia="宋体" w:cs="Times New Roman"/>
                <w:lang w:val="en-US" w:eastAsia="zh-CN"/>
              </w:rPr>
              <w:t>数字多用表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市场预测</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val="en-US" w:eastAsia="zh-CN"/>
              </w:rPr>
            </w:pPr>
            <w:r>
              <w:rPr>
                <w:rFonts w:hint="eastAsia"/>
              </w:rPr>
              <w:t>特种作业人员：</w:t>
            </w:r>
            <w:r>
              <w:rPr>
                <w:rFonts w:hint="eastAsia"/>
                <w:lang w:val="en-US" w:eastAsia="zh-CN"/>
              </w:rPr>
              <w:t>无</w:t>
            </w:r>
          </w:p>
          <w:p>
            <w:pPr>
              <w:shd w:val="clear" w:color="auto" w:fill="C7DAF1" w:themeFill="text2" w:themeFillTint="32"/>
              <w:rPr>
                <w:rFonts w:hint="eastAsia" w:eastAsia="宋体"/>
                <w:lang w:eastAsia="zh-CN"/>
              </w:rPr>
            </w:pPr>
            <w:r>
              <w:rPr>
                <w:rFonts w:hint="eastAsia"/>
              </w:rPr>
              <w:t>特种设备作业人员：</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培训</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展板</w:t>
            </w:r>
            <w:r>
              <w:rPr>
                <w:rFonts w:hint="eastAsia" w:ascii="Wingdings" w:hAnsi="Wingdings"/>
              </w:rPr>
              <w:t>¨</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val="de-DE"/>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auto"/>
              </w:rPr>
            </w:pPr>
            <w:r>
              <w:rPr>
                <w:rFonts w:hint="eastAsia"/>
              </w:rPr>
              <w:t>组织建立、实施和保持了适当的设计和</w:t>
            </w:r>
            <w:r>
              <w:rPr>
                <w:rFonts w:hint="eastAsia"/>
                <w:color w:val="auto"/>
              </w:rPr>
              <w:t>开发过程，以确保后续的产品和服务的提供。（适用时）</w:t>
            </w:r>
          </w:p>
          <w:p>
            <w:pPr>
              <w:shd w:val="clear" w:color="auto" w:fill="C7DAF1" w:themeFill="text2" w:themeFillTint="32"/>
            </w:pPr>
            <w:r>
              <w:rPr>
                <w:rFonts w:hint="eastAsia"/>
                <w:color w:val="auto"/>
              </w:rPr>
              <w:t>审核期间内设计和开发新产品/项目名称：</w:t>
            </w:r>
            <w:r>
              <w:rPr>
                <w:rFonts w:hint="eastAsia"/>
                <w:color w:val="auto"/>
                <w:lang w:val="en-US" w:eastAsia="zh-CN"/>
              </w:rPr>
              <w:t>无</w:t>
            </w:r>
            <w:r>
              <w:rPr>
                <w:rFonts w:hint="eastAsia"/>
                <w:color w:val="auto"/>
                <w:u w:val="single"/>
              </w:rPr>
              <w:t>（</w:t>
            </w:r>
            <w:r>
              <w:rPr>
                <w:rFonts w:hint="eastAsia"/>
                <w:color w:val="auto"/>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w:t>
            </w:r>
            <w:r>
              <w:rPr>
                <w:rFonts w:hint="eastAsia"/>
                <w:lang w:val="en-US" w:eastAsia="zh-CN"/>
              </w:rPr>
              <w:t>定制</w:t>
            </w:r>
            <w:r>
              <w:rPr>
                <w:rFonts w:hint="eastAsia" w:ascii="Wingdings" w:hAnsi="Wingdings"/>
              </w:rPr>
              <w:t>¨</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ascii="Times New Roman" w:hAnsi="Times New Roman" w:eastAsia="宋体" w:cs="Times New Roman"/>
                      <w:color w:val="auto"/>
                    </w:rPr>
                    <w:t>动车组跨接电缆维修</w:t>
                  </w:r>
                </w:p>
              </w:tc>
              <w:tc>
                <w:tcPr>
                  <w:tcW w:w="3665" w:type="dxa"/>
                </w:tcPr>
                <w:p>
                  <w:pPr>
                    <w:shd w:val="clear" w:color="auto" w:fill="C7DAF1" w:themeFill="text2" w:themeFillTint="32"/>
                    <w:jc w:val="left"/>
                  </w:pPr>
                  <w:r>
                    <w:rPr>
                      <w:rFonts w:hint="eastAsia"/>
                      <w:szCs w:val="24"/>
                      <w:lang w:val="en-US" w:eastAsia="zh-CN"/>
                    </w:rPr>
                    <w:t>检测、</w:t>
                  </w:r>
                  <w:r>
                    <w:rPr>
                      <w:rFonts w:hint="eastAsia"/>
                      <w:szCs w:val="24"/>
                    </w:rPr>
                    <w:t>分解拆除</w:t>
                  </w:r>
                  <w:r>
                    <w:rPr>
                      <w:rFonts w:hint="eastAsia"/>
                      <w:szCs w:val="24"/>
                      <w:lang w:eastAsia="zh-CN"/>
                    </w:rPr>
                    <w:t>、</w:t>
                  </w:r>
                  <w:r>
                    <w:rPr>
                      <w:rFonts w:hint="eastAsia"/>
                      <w:szCs w:val="24"/>
                    </w:rPr>
                    <w:t>组装换新</w:t>
                  </w:r>
                  <w:r>
                    <w:rPr>
                      <w:rFonts w:hint="eastAsia"/>
                      <w:szCs w:val="24"/>
                      <w:lang w:eastAsia="zh-CN"/>
                    </w:rPr>
                    <w:t>、</w:t>
                  </w:r>
                  <w:r>
                    <w:rPr>
                      <w:rFonts w:hint="eastAsia"/>
                      <w:szCs w:val="24"/>
                      <w:lang w:val="en-US" w:eastAsia="zh-CN"/>
                    </w:rPr>
                    <w:t>测试</w:t>
                  </w:r>
                </w:p>
              </w:tc>
              <w:tc>
                <w:tcPr>
                  <w:tcW w:w="3265" w:type="dxa"/>
                </w:tcPr>
                <w:p>
                  <w:pPr>
                    <w:shd w:val="clear" w:color="auto" w:fill="C7DAF1" w:themeFill="text2" w:themeFillTint="32"/>
                    <w:jc w:val="left"/>
                  </w:pPr>
                  <w:r>
                    <w:rPr>
                      <w:rFonts w:hint="eastAsia"/>
                      <w:color w:val="auto"/>
                      <w:u w:val="none"/>
                    </w:rPr>
                    <w:t>端子连接情况、</w:t>
                  </w:r>
                  <w:r>
                    <w:rPr>
                      <w:rFonts w:hint="eastAsia"/>
                      <w:color w:val="auto"/>
                      <w:u w:val="none"/>
                      <w:lang w:val="en-US" w:eastAsia="zh-CN"/>
                    </w:rPr>
                    <w:t>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color w:val="auto"/>
              </w:rPr>
            </w:pPr>
            <w:r>
              <w:rPr>
                <w:rFonts w:hint="eastAsia"/>
              </w:rPr>
              <w:t>需要确认的过程：</w:t>
            </w:r>
            <w:r>
              <w:rPr>
                <w:rFonts w:hint="eastAsia"/>
                <w:color w:val="auto"/>
                <w:lang w:val="en-US" w:eastAsia="zh-CN"/>
              </w:rPr>
              <w:t>维修过程</w:t>
            </w:r>
            <w:r>
              <w:rPr>
                <w:rFonts w:hint="eastAsia"/>
                <w:color w:val="auto"/>
              </w:rPr>
              <w:t>，</w:t>
            </w:r>
          </w:p>
          <w:p>
            <w:pPr>
              <w:shd w:val="clear" w:color="auto" w:fill="C7DAF1" w:themeFill="text2" w:themeFillTint="32"/>
              <w:jc w:val="left"/>
            </w:pPr>
            <w:r>
              <w:rPr>
                <w:rFonts w:hint="eastAsia"/>
                <w:color w:val="auto"/>
              </w:rPr>
              <w:t>存在不足，说明</w:t>
            </w:r>
            <w:r>
              <w:rPr>
                <w:rFonts w:hint="eastAsia" w:ascii="Times New Roman" w:hAnsi="Times New Roman" w:eastAsia="宋体" w:cs="Times New Roman"/>
                <w:color w:val="auto"/>
                <w:lang w:val="en-US" w:eastAsia="zh-CN"/>
              </w:rPr>
              <w:t>：未能提供对需要确认过</w:t>
            </w:r>
            <w:r>
              <w:rPr>
                <w:rFonts w:hint="eastAsia" w:ascii="Times New Roman" w:hAnsi="Times New Roman" w:eastAsia="宋体" w:cs="Times New Roman"/>
                <w:lang w:val="en-US" w:eastAsia="zh-CN"/>
              </w:rPr>
              <w:t>程“维修过程”进行确认的证据。</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rPr>
              <w:t>设备</w:t>
            </w:r>
            <w:r>
              <w:rPr>
                <w:rFonts w:hint="eastAsia" w:ascii="Wingdings" w:hAnsi="Wingdings"/>
              </w:rPr>
              <w:t>¨</w:t>
            </w:r>
            <w:r>
              <w:rPr>
                <w:rFonts w:hint="eastAsia"/>
              </w:rPr>
              <w:t>图纸</w:t>
            </w:r>
            <w:r>
              <w:rPr>
                <w:rFonts w:hint="eastAsia" w:ascii="Wingdings" w:hAnsi="Wingdings"/>
              </w:rPr>
              <w:t>¨</w:t>
            </w:r>
            <w:r>
              <w:rPr>
                <w:rFonts w:hint="eastAsia"/>
              </w:rPr>
              <w:t>个人信息</w:t>
            </w:r>
            <w:r>
              <w:rPr>
                <w:rFonts w:hint="eastAsia" w:ascii="Wingdings" w:hAnsi="Wingdings"/>
              </w:rPr>
              <w:t>¨</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维修</w:t>
            </w:r>
            <w:r>
              <w:rPr>
                <w:rFonts w:hint="eastAsia" w:ascii="Wingdings" w:hAnsi="Wingdings"/>
              </w:rPr>
              <w:t>¨</w:t>
            </w:r>
            <w:r>
              <w:rPr>
                <w:rFonts w:hint="eastAsia"/>
              </w:rPr>
              <w:t>最终处置</w:t>
            </w:r>
            <w:r>
              <w:rPr>
                <w:rFonts w:hint="eastAsia" w:ascii="Wingdings" w:hAnsi="Wingdings"/>
              </w:rPr>
              <w:t>¨</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auto"/>
              </w:rPr>
            </w:pPr>
            <w:r>
              <w:rPr>
                <w:rFonts w:hint="eastAsia"/>
              </w:rPr>
              <w:t>组织对生产和服务提供的更改进行必</w:t>
            </w:r>
            <w:r>
              <w:rPr>
                <w:rFonts w:hint="eastAsia"/>
                <w:color w:val="auto"/>
              </w:rPr>
              <w:t>要的评审和控制，以确保持续地符合要求。</w:t>
            </w:r>
          </w:p>
          <w:p>
            <w:pPr>
              <w:shd w:val="clear" w:color="auto" w:fill="C7DAF1" w:themeFill="text2" w:themeFillTint="32"/>
              <w:rPr>
                <w:color w:val="auto"/>
              </w:rPr>
            </w:pPr>
            <w:r>
              <w:rPr>
                <w:rFonts w:hint="eastAsia"/>
                <w:color w:val="auto"/>
              </w:rPr>
              <w:t>已发生的更改包括：</w:t>
            </w:r>
            <w:r>
              <w:rPr>
                <w:rFonts w:hint="eastAsia" w:ascii="Wingdings" w:hAnsi="Wingdings"/>
                <w:color w:val="auto"/>
              </w:rPr>
              <w:t>¨</w:t>
            </w:r>
            <w:r>
              <w:rPr>
                <w:rFonts w:hint="eastAsia"/>
                <w:color w:val="auto"/>
              </w:rPr>
              <w:t>重要原材料</w:t>
            </w:r>
            <w:r>
              <w:rPr>
                <w:rFonts w:hint="eastAsia" w:ascii="Wingdings" w:hAnsi="Wingdings"/>
                <w:color w:val="auto"/>
              </w:rPr>
              <w:t>¨</w:t>
            </w:r>
            <w:r>
              <w:rPr>
                <w:rFonts w:hint="eastAsia"/>
                <w:color w:val="auto"/>
              </w:rPr>
              <w:t>设备</w:t>
            </w:r>
            <w:r>
              <w:rPr>
                <w:rFonts w:hint="eastAsia" w:ascii="Wingdings" w:hAnsi="Wingdings"/>
                <w:color w:val="auto"/>
              </w:rPr>
              <w:t>¨</w:t>
            </w:r>
            <w:r>
              <w:rPr>
                <w:rFonts w:hint="eastAsia"/>
                <w:color w:val="auto"/>
              </w:rPr>
              <w:t>检测设备</w:t>
            </w:r>
            <w:r>
              <w:rPr>
                <w:rFonts w:hint="eastAsia" w:ascii="Wingdings" w:hAnsi="Wingdings"/>
                <w:color w:val="auto"/>
              </w:rPr>
              <w:t>¨</w:t>
            </w:r>
            <w:r>
              <w:rPr>
                <w:rFonts w:hint="eastAsia"/>
                <w:color w:val="auto"/>
              </w:rPr>
              <w:t>图纸</w:t>
            </w:r>
            <w:r>
              <w:rPr>
                <w:rFonts w:hint="eastAsia" w:ascii="Wingdings" w:hAnsi="Wingdings"/>
                <w:color w:val="auto"/>
              </w:rPr>
              <w:t>¨</w:t>
            </w:r>
            <w:r>
              <w:rPr>
                <w:rFonts w:hint="eastAsia"/>
                <w:color w:val="auto"/>
              </w:rPr>
              <w:t>工艺</w:t>
            </w:r>
            <w:r>
              <w:rPr>
                <w:rFonts w:hint="eastAsia" w:ascii="Wingdings" w:hAnsi="Wingdings"/>
                <w:color w:val="auto"/>
              </w:rPr>
              <w:t>¨</w:t>
            </w:r>
            <w:r>
              <w:rPr>
                <w:rFonts w:hint="eastAsia"/>
                <w:color w:val="auto"/>
              </w:rPr>
              <w:t>加工场所</w:t>
            </w:r>
            <w:r>
              <w:rPr>
                <w:rFonts w:hint="eastAsia" w:ascii="Wingdings" w:hAnsi="Wingdings"/>
                <w:color w:val="auto"/>
              </w:rPr>
              <w:t>¨</w:t>
            </w:r>
            <w:r>
              <w:rPr>
                <w:rFonts w:hint="eastAsia"/>
                <w:color w:val="auto"/>
              </w:rPr>
              <w:t>其他</w:t>
            </w:r>
          </w:p>
          <w:p>
            <w:pPr>
              <w:shd w:val="clear" w:color="auto" w:fill="C7DAF1" w:themeFill="text2" w:themeFillTint="32"/>
            </w:pPr>
            <w:r>
              <w:rPr>
                <w:rFonts w:hint="eastAsia"/>
                <w:color w:val="auto"/>
              </w:rPr>
              <w:t>变更控制：</w:t>
            </w:r>
            <w:r>
              <w:rPr>
                <w:rFonts w:hint="eastAsia" w:ascii="Wingdings" w:hAnsi="Wingdings"/>
                <w:color w:val="auto"/>
              </w:rPr>
              <w:t>¨</w:t>
            </w:r>
            <w:r>
              <w:rPr>
                <w:rFonts w:hint="eastAsia"/>
                <w:color w:val="auto"/>
              </w:rPr>
              <w:t>符合要求</w:t>
            </w:r>
            <w:r>
              <w:rPr>
                <w:rFonts w:hint="eastAsia" w:ascii="Wingdings" w:hAnsi="Wingdings"/>
                <w:color w:val="auto"/>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rPr>
                <w:color w:val="auto"/>
              </w:rPr>
            </w:pPr>
            <w:r>
              <w:rPr>
                <w:rFonts w:hint="eastAsia"/>
              </w:rPr>
              <w:t>实施了</w:t>
            </w:r>
            <w:r>
              <w:rPr>
                <w:rFonts w:hint="eastAsia" w:ascii="Wingdings" w:hAnsi="Wingdings"/>
              </w:rPr>
              <w:t>¨</w:t>
            </w:r>
            <w:r>
              <w:rPr>
                <w:rFonts w:hint="eastAsia"/>
              </w:rPr>
              <w:t>进货检</w:t>
            </w:r>
            <w:r>
              <w:rPr>
                <w:rFonts w:hint="eastAsia"/>
                <w:color w:val="auto"/>
              </w:rPr>
              <w:t>验</w:t>
            </w:r>
            <w:r>
              <w:rPr>
                <w:rFonts w:hint="eastAsia" w:ascii="Wingdings" w:hAnsi="Wingdings"/>
                <w:color w:val="auto"/>
              </w:rPr>
              <w:t>¨</w:t>
            </w:r>
            <w:r>
              <w:rPr>
                <w:rFonts w:hint="eastAsia"/>
                <w:color w:val="auto"/>
              </w:rPr>
              <w:t>过程检验</w:t>
            </w:r>
            <w:r>
              <w:rPr>
                <w:rFonts w:hint="eastAsia" w:ascii="Wingdings" w:hAnsi="Wingdings"/>
                <w:color w:val="auto"/>
              </w:rPr>
              <w:t>¨</w:t>
            </w:r>
            <w:r>
              <w:rPr>
                <w:rFonts w:hint="eastAsia"/>
                <w:color w:val="auto"/>
              </w:rPr>
              <w:t>最终检验</w:t>
            </w:r>
            <w:r>
              <w:rPr>
                <w:rFonts w:hint="eastAsia" w:ascii="Wingdings" w:hAnsi="Wingdings"/>
                <w:color w:val="auto"/>
              </w:rPr>
              <w:t>¨</w:t>
            </w:r>
          </w:p>
          <w:p>
            <w:pPr>
              <w:shd w:val="clear" w:color="auto" w:fill="C7DAF1" w:themeFill="text2" w:themeFillTint="32"/>
              <w:rPr>
                <w:color w:val="auto"/>
              </w:rPr>
            </w:pPr>
            <w:r>
              <w:rPr>
                <w:rFonts w:hint="eastAsia"/>
                <w:color w:val="auto"/>
              </w:rPr>
              <w:t>《型式检验报告》，如：</w:t>
            </w:r>
            <w:r>
              <w:rPr>
                <w:rFonts w:hint="eastAsia"/>
                <w:color w:val="auto"/>
                <w:lang w:val="en-US" w:eastAsia="zh-CN"/>
              </w:rPr>
              <w:t>无</w:t>
            </w:r>
            <w:r>
              <w:rPr>
                <w:rFonts w:hint="eastAsia"/>
                <w:color w:val="auto"/>
              </w:rPr>
              <w:t>。</w:t>
            </w:r>
          </w:p>
          <w:p>
            <w:pPr>
              <w:shd w:val="clear" w:color="auto" w:fill="C7DAF1" w:themeFill="text2" w:themeFillTint="32"/>
            </w:pPr>
            <w:r>
              <w:rPr>
                <w:rFonts w:hint="eastAsia"/>
                <w:color w:val="auto"/>
              </w:rPr>
              <w:t>产品检验/服务放行：</w:t>
            </w:r>
            <w:r>
              <w:rPr>
                <w:rFonts w:hint="eastAsia" w:ascii="Wingdings" w:hAnsi="Wingdings"/>
                <w:color w:val="auto"/>
              </w:rPr>
              <w:t>¨</w:t>
            </w:r>
            <w:r>
              <w:rPr>
                <w:rFonts w:hint="eastAsia"/>
                <w:color w:val="auto"/>
              </w:rPr>
              <w:t>符合要求</w:t>
            </w:r>
            <w:r>
              <w:rPr>
                <w:rFonts w:hint="eastAsia" w:ascii="Wingdings" w:hAnsi="Wingdings"/>
                <w:color w:val="auto"/>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12-13</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30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auto"/>
              </w:rPr>
            </w:pPr>
            <w:r>
              <w:rPr>
                <w:rFonts w:hint="eastAsia"/>
              </w:rPr>
              <w:t>组织针</w:t>
            </w:r>
            <w:r>
              <w:rPr>
                <w:rFonts w:hint="eastAsia"/>
                <w:color w:val="auto"/>
              </w:rPr>
              <w:t>对质量管理体系运行中的不符合采取了有效纠正和纠正措施。针对下列方面采取了纠正措施：</w:t>
            </w:r>
          </w:p>
          <w:p>
            <w:pPr>
              <w:shd w:val="clear" w:color="auto" w:fill="C7DAF1" w:themeFill="text2" w:themeFillTint="32"/>
              <w:rPr>
                <w:color w:val="auto"/>
              </w:rPr>
            </w:pPr>
            <w:r>
              <w:rPr>
                <w:rFonts w:hint="eastAsia" w:ascii="Wingdings" w:hAnsi="Wingdings"/>
                <w:color w:val="auto"/>
              </w:rPr>
              <w:t>¨</w:t>
            </w:r>
            <w:r>
              <w:rPr>
                <w:rFonts w:hint="eastAsia"/>
                <w:color w:val="auto"/>
              </w:rPr>
              <w:t>不合格产品/服务</w:t>
            </w:r>
            <w:r>
              <w:rPr>
                <w:rFonts w:hint="eastAsia" w:ascii="Wingdings" w:hAnsi="Wingdings"/>
                <w:color w:val="auto"/>
              </w:rPr>
              <w:t>¨</w:t>
            </w:r>
            <w:r>
              <w:rPr>
                <w:rFonts w:hint="eastAsia"/>
                <w:color w:val="auto"/>
              </w:rPr>
              <w:t>自我验证的结果</w:t>
            </w:r>
            <w:r>
              <w:rPr>
                <w:rFonts w:hint="eastAsia" w:ascii="Wingdings" w:hAnsi="Wingdings"/>
                <w:color w:val="auto"/>
              </w:rPr>
              <w:t>¨</w:t>
            </w:r>
            <w:r>
              <w:rPr>
                <w:rFonts w:hint="eastAsia"/>
                <w:color w:val="auto"/>
              </w:rPr>
              <w:t>顾客投诉</w:t>
            </w:r>
            <w:r>
              <w:rPr>
                <w:rFonts w:hint="eastAsia" w:ascii="Wingdings" w:hAnsi="Wingdings"/>
                <w:color w:val="auto"/>
              </w:rPr>
              <w:t>¨</w:t>
            </w:r>
            <w:r>
              <w:rPr>
                <w:rFonts w:hint="eastAsia"/>
                <w:color w:val="auto"/>
              </w:rPr>
              <w:t>顾客满意调查</w:t>
            </w:r>
          </w:p>
          <w:p>
            <w:pPr>
              <w:shd w:val="clear" w:color="auto" w:fill="C7DAF1" w:themeFill="text2" w:themeFillTint="32"/>
            </w:pPr>
            <w:r>
              <w:rPr>
                <w:rFonts w:hint="eastAsia" w:ascii="Wingdings" w:hAnsi="Wingdings"/>
                <w:color w:val="auto"/>
              </w:rPr>
              <w:t>¨</w:t>
            </w:r>
            <w:r>
              <w:rPr>
                <w:rFonts w:hint="eastAsia"/>
                <w:color w:val="auto"/>
              </w:rPr>
              <w:t>内审不符合项</w:t>
            </w:r>
            <w:r>
              <w:rPr>
                <w:rFonts w:hint="eastAsia" w:ascii="Wingdings" w:hAnsi="Wingdings"/>
                <w:color w:val="auto"/>
              </w:rPr>
              <w:t>¨</w:t>
            </w:r>
            <w:r>
              <w:rPr>
                <w:rFonts w:hint="eastAsia"/>
                <w:color w:val="auto"/>
              </w:rPr>
              <w:t>外</w:t>
            </w:r>
            <w:r>
              <w:rPr>
                <w:rFonts w:hint="eastAsia"/>
              </w:rPr>
              <w:t>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5015827"/>
    <w:rsid w:val="0549182A"/>
    <w:rsid w:val="093D53C4"/>
    <w:rsid w:val="0B870ED6"/>
    <w:rsid w:val="0CC951D0"/>
    <w:rsid w:val="115A0716"/>
    <w:rsid w:val="16D62FCE"/>
    <w:rsid w:val="194E1F6C"/>
    <w:rsid w:val="1C344453"/>
    <w:rsid w:val="1D64186F"/>
    <w:rsid w:val="1E1B63F3"/>
    <w:rsid w:val="1E1B716F"/>
    <w:rsid w:val="1EA548B5"/>
    <w:rsid w:val="1F4A5122"/>
    <w:rsid w:val="1FF41C37"/>
    <w:rsid w:val="25455F2E"/>
    <w:rsid w:val="25E31A7D"/>
    <w:rsid w:val="26100A76"/>
    <w:rsid w:val="266C2652"/>
    <w:rsid w:val="270C4A45"/>
    <w:rsid w:val="296804D2"/>
    <w:rsid w:val="2F9F462B"/>
    <w:rsid w:val="30F80F03"/>
    <w:rsid w:val="31942966"/>
    <w:rsid w:val="32A1175A"/>
    <w:rsid w:val="37AC28BE"/>
    <w:rsid w:val="38E167A6"/>
    <w:rsid w:val="3BF67A14"/>
    <w:rsid w:val="3CA40FAB"/>
    <w:rsid w:val="40373830"/>
    <w:rsid w:val="40947A86"/>
    <w:rsid w:val="45282C3C"/>
    <w:rsid w:val="49057875"/>
    <w:rsid w:val="524D2AAE"/>
    <w:rsid w:val="5D04605C"/>
    <w:rsid w:val="5E0B2BA6"/>
    <w:rsid w:val="61C03009"/>
    <w:rsid w:val="664A471E"/>
    <w:rsid w:val="6660791B"/>
    <w:rsid w:val="6F6E6ED9"/>
    <w:rsid w:val="70583E79"/>
    <w:rsid w:val="73707ED9"/>
    <w:rsid w:val="7A286E42"/>
    <w:rsid w:val="7D3E42FE"/>
    <w:rsid w:val="7EB900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2</TotalTime>
  <ScaleCrop>false</ScaleCrop>
  <LinksUpToDate>false</LinksUpToDate>
  <CharactersWithSpaces>21158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晨露</cp:lastModifiedBy>
  <cp:lastPrinted>2019-05-13T03:19:00Z</cp:lastPrinted>
  <dcterms:modified xsi:type="dcterms:W3CDTF">2021-10-09T02:28:42Z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