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0296-2019-Q-2020-2021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ind w:firstLine="1120" w:firstLineChars="400"/>
        <w:jc w:val="left"/>
        <w:rPr>
          <w:sz w:val="28"/>
          <w:szCs w:val="28"/>
        </w:rPr>
      </w:pPr>
      <w:r>
        <w:rPr>
          <w:rFonts w:hint="eastAsia"/>
          <w:sz w:val="28"/>
          <w:szCs w:val="28"/>
        </w:rPr>
        <w:t>受审核方：</w:t>
      </w:r>
      <w:bookmarkStart w:id="1" w:name="组织名称"/>
      <w:r>
        <w:rPr>
          <w:sz w:val="28"/>
          <w:szCs w:val="28"/>
        </w:rPr>
        <w:t>陕西智简美机电科技有限公司</w:t>
      </w:r>
      <w:bookmarkEnd w:id="1"/>
    </w:p>
    <w:p>
      <w:pPr>
        <w:rPr>
          <w:sz w:val="28"/>
          <w:szCs w:val="28"/>
        </w:rPr>
      </w:pPr>
    </w:p>
    <w:p>
      <w:pPr>
        <w:ind w:firstLine="1120" w:firstLineChars="400"/>
        <w:rPr>
          <w:sz w:val="28"/>
          <w:szCs w:val="28"/>
        </w:rPr>
      </w:pPr>
      <w:r>
        <w:rPr>
          <w:rFonts w:hint="eastAsia"/>
          <w:sz w:val="28"/>
          <w:szCs w:val="28"/>
        </w:rPr>
        <w:t>审核体系：</w:t>
      </w:r>
    </w:p>
    <w:p>
      <w:pPr>
        <w:ind w:firstLine="1960" w:firstLineChars="700"/>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ind w:firstLine="1960" w:firstLineChars="700"/>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ind w:firstLine="1960" w:firstLineChars="700"/>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ind w:firstLine="1960" w:firstLineChars="700"/>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陕西智简美机电科技有限公司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西安市高新区高新路88号6幢1单元12511室</w:t>
            </w:r>
            <w:bookmarkEnd w:id="6"/>
          </w:p>
        </w:tc>
        <w:tc>
          <w:tcPr>
            <w:tcW w:w="1242" w:type="dxa"/>
            <w:vMerge w:val="restart"/>
            <w:vAlign w:val="center"/>
          </w:tcPr>
          <w:p>
            <w:r>
              <w:rPr>
                <w:rFonts w:hint="eastAsia"/>
              </w:rPr>
              <w:t>邮编</w:t>
            </w:r>
          </w:p>
        </w:tc>
        <w:tc>
          <w:tcPr>
            <w:tcW w:w="1771" w:type="dxa"/>
          </w:tcPr>
          <w:p>
            <w:bookmarkStart w:id="7" w:name="注册邮编"/>
            <w: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西安市高新区高新路88号6幢1单元12511室</w:t>
            </w:r>
            <w:bookmarkEnd w:id="8"/>
          </w:p>
        </w:tc>
        <w:tc>
          <w:tcPr>
            <w:tcW w:w="1242" w:type="dxa"/>
            <w:vMerge w:val="continue"/>
            <w:vAlign w:val="center"/>
          </w:tcPr>
          <w:p/>
        </w:tc>
        <w:tc>
          <w:tcPr>
            <w:tcW w:w="1771" w:type="dxa"/>
          </w:tcPr>
          <w:p>
            <w:bookmarkStart w:id="9" w:name="办公邮编"/>
            <w:r>
              <w:t>710000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郑先成</w:t>
            </w:r>
            <w:bookmarkEnd w:id="10"/>
          </w:p>
        </w:tc>
        <w:tc>
          <w:tcPr>
            <w:tcW w:w="1313" w:type="dxa"/>
            <w:vAlign w:val="center"/>
          </w:tcPr>
          <w:p>
            <w:r>
              <w:rPr>
                <w:rFonts w:hint="eastAsia"/>
              </w:rPr>
              <w:t>电话.</w:t>
            </w:r>
          </w:p>
        </w:tc>
        <w:tc>
          <w:tcPr>
            <w:tcW w:w="2180" w:type="dxa"/>
            <w:vAlign w:val="center"/>
          </w:tcPr>
          <w:p>
            <w:bookmarkStart w:id="11" w:name="联系人电话"/>
            <w:r>
              <w:t>13991858633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王慧英</w:t>
            </w:r>
            <w:bookmarkEnd w:id="13"/>
          </w:p>
        </w:tc>
        <w:tc>
          <w:tcPr>
            <w:tcW w:w="1313" w:type="dxa"/>
            <w:vAlign w:val="center"/>
          </w:tcPr>
          <w:p>
            <w:r>
              <w:rPr>
                <w:rFonts w:hint="eastAsia"/>
              </w:rPr>
              <w:t>管理者代表</w:t>
            </w:r>
          </w:p>
        </w:tc>
        <w:tc>
          <w:tcPr>
            <w:tcW w:w="2180" w:type="dxa"/>
          </w:tcPr>
          <w:p>
            <w:bookmarkStart w:id="14" w:name="管理者代表"/>
            <w:r>
              <w:t>郑先成</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rPr>
            </w:pPr>
            <w:r>
              <w:rPr>
                <w:rFonts w:hint="eastAsia"/>
              </w:rPr>
              <w:t>多班次说明</w:t>
            </w:r>
          </w:p>
        </w:tc>
        <w:tc>
          <w:tcPr>
            <w:tcW w:w="8058" w:type="dxa"/>
            <w:gridSpan w:val="5"/>
            <w:shd w:val="clear" w:color="auto" w:fill="auto"/>
          </w:tcPr>
          <w:p>
            <w:pPr>
              <w:rPr>
                <w:rFonts w:hint="eastAsia"/>
              </w:rPr>
            </w:pPr>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tabs>
                <w:tab w:val="left" w:pos="1080"/>
              </w:tabs>
              <w:rPr>
                <w:rFonts w:hint="eastAsia"/>
                <w:sz w:val="20"/>
                <w:szCs w:val="22"/>
              </w:rPr>
            </w:pPr>
          </w:p>
          <w:p>
            <w:pPr>
              <w:tabs>
                <w:tab w:val="left" w:pos="1080"/>
              </w:tabs>
            </w:pPr>
            <w:r>
              <w:rPr>
                <w:rFonts w:hint="eastAsia" w:ascii="宋体" w:hAnsi="宋体" w:cs="宋体"/>
                <w:szCs w:val="22"/>
              </w:rPr>
              <w:t>招投标及业务洽谈→合同评审→研发→验证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2021年10月09日 下午至2021年10月10日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exact"/>
        </w:trPr>
        <w:tc>
          <w:tcPr>
            <w:tcW w:w="1632" w:type="dxa"/>
            <w:gridSpan w:val="2"/>
            <w:vAlign w:val="top"/>
          </w:tcPr>
          <w:p>
            <w:pPr>
              <w:tabs>
                <w:tab w:val="left" w:pos="4285"/>
              </w:tabs>
              <w:rPr>
                <w:rFonts w:cs="Arial"/>
                <w:b w:val="0"/>
                <w:bCs/>
                <w:color w:val="000000" w:themeColor="text1"/>
                <w:szCs w:val="21"/>
              </w:rPr>
            </w:pPr>
            <w:r>
              <w:rPr>
                <w:rFonts w:hint="eastAsia" w:cs="Arial"/>
                <w:b w:val="0"/>
                <w:bCs/>
                <w:color w:val="000000" w:themeColor="text1"/>
                <w:szCs w:val="21"/>
              </w:rPr>
              <w:t>审核地址（含远程）</w:t>
            </w:r>
          </w:p>
        </w:tc>
        <w:tc>
          <w:tcPr>
            <w:tcW w:w="7831" w:type="dxa"/>
            <w:gridSpan w:val="3"/>
            <w:tcMar>
              <w:left w:w="113" w:type="dxa"/>
            </w:tcMar>
          </w:tcPr>
          <w:p>
            <w:pPr>
              <w:rPr>
                <w:rFonts w:ascii="宋体"/>
                <w:b w:val="0"/>
                <w:bCs/>
                <w:color w:val="000000" w:themeColor="text1"/>
                <w:szCs w:val="21"/>
              </w:rPr>
            </w:pPr>
            <w:r>
              <w:t>西安市高新区高新路88号6幢1单元12511室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val="0"/>
                <w:bCs/>
                <w:color w:val="000000" w:themeColor="text1"/>
                <w:szCs w:val="21"/>
              </w:rPr>
            </w:pPr>
            <w:r>
              <w:rPr>
                <w:rFonts w:hint="eastAsia" w:ascii="宋体"/>
                <w:b w:val="0"/>
                <w:bCs/>
                <w:color w:val="000000" w:themeColor="text1"/>
                <w:szCs w:val="21"/>
              </w:rPr>
              <w:t>远程审核方式</w:t>
            </w:r>
          </w:p>
        </w:tc>
        <w:tc>
          <w:tcPr>
            <w:tcW w:w="7831" w:type="dxa"/>
            <w:gridSpan w:val="3"/>
            <w:tcMar>
              <w:left w:w="113" w:type="dxa"/>
            </w:tcMar>
            <w:vAlign w:val="bottom"/>
          </w:tcPr>
          <w:p>
            <w:pPr>
              <w:rPr>
                <w:rFonts w:ascii="宋体"/>
                <w:b w:val="0"/>
                <w:bCs/>
                <w:color w:val="000000" w:themeColor="text1"/>
                <w:szCs w:val="21"/>
              </w:rPr>
            </w:pPr>
            <w:r>
              <w:rPr>
                <w:rFonts w:hint="eastAsia" w:ascii="宋体"/>
                <w:b w:val="0"/>
                <w:bCs/>
                <w:color w:val="000000" w:themeColor="text1"/>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val="0"/>
                <w:bCs/>
                <w:color w:val="000000" w:themeColor="text1"/>
                <w:szCs w:val="21"/>
              </w:rPr>
            </w:pPr>
            <w:r>
              <w:rPr>
                <w:rFonts w:hint="eastAsia" w:ascii="宋体"/>
                <w:b w:val="0"/>
                <w:bCs/>
                <w:color w:val="000000" w:themeColor="text1"/>
                <w:szCs w:val="21"/>
              </w:rPr>
              <w:t>信息安全的控制</w:t>
            </w:r>
          </w:p>
        </w:tc>
        <w:tc>
          <w:tcPr>
            <w:tcW w:w="7831" w:type="dxa"/>
            <w:gridSpan w:val="3"/>
            <w:tcMar>
              <w:left w:w="113" w:type="dxa"/>
            </w:tcMar>
            <w:vAlign w:val="bottom"/>
          </w:tcPr>
          <w:p>
            <w:pPr>
              <w:rPr>
                <w:rFonts w:ascii="宋体"/>
                <w:b w:val="0"/>
                <w:bCs/>
                <w:color w:val="000000" w:themeColor="text1"/>
                <w:szCs w:val="21"/>
              </w:rPr>
            </w:pPr>
            <w:r>
              <w:rPr>
                <w:rFonts w:hint="eastAsia" w:ascii="宋体"/>
                <w:b w:val="0"/>
                <w:bCs/>
                <w:color w:val="000000" w:themeColor="text1"/>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5" w:hRule="exact"/>
        </w:trPr>
        <w:tc>
          <w:tcPr>
            <w:tcW w:w="1632" w:type="dxa"/>
            <w:gridSpan w:val="2"/>
          </w:tcPr>
          <w:p>
            <w:pPr>
              <w:rPr>
                <w:rFonts w:ascii="宋体"/>
                <w:b w:val="0"/>
                <w:bCs/>
                <w:color w:val="000000" w:themeColor="text1"/>
                <w:szCs w:val="21"/>
              </w:rPr>
            </w:pPr>
            <w:r>
              <w:rPr>
                <w:rFonts w:hint="eastAsia" w:ascii="宋体"/>
                <w:b w:val="0"/>
                <w:bCs/>
                <w:color w:val="000000" w:themeColor="text1"/>
                <w:szCs w:val="21"/>
              </w:rPr>
              <w:t>远程审核资源</w:t>
            </w:r>
          </w:p>
        </w:tc>
        <w:tc>
          <w:tcPr>
            <w:tcW w:w="7831" w:type="dxa"/>
            <w:gridSpan w:val="3"/>
            <w:tcMar>
              <w:left w:w="113" w:type="dxa"/>
            </w:tcMar>
            <w:vAlign w:val="bottom"/>
          </w:tcPr>
          <w:p>
            <w:pPr>
              <w:rPr>
                <w:rFonts w:ascii="宋体"/>
                <w:b w:val="0"/>
                <w:bCs/>
                <w:color w:val="000000" w:themeColor="text1"/>
                <w:szCs w:val="21"/>
              </w:rPr>
            </w:pPr>
            <w:r>
              <w:rPr>
                <w:rFonts w:hint="eastAsia" w:ascii="宋体"/>
                <w:b w:val="0"/>
                <w:bCs/>
                <w:color w:val="000000" w:themeColor="text1"/>
                <w:szCs w:val="21"/>
              </w:rPr>
              <w:t>□网络□智能手机□手持设备□笔记本电脑□台式电脑□无人机□摄像机□可穿戴技术□人工智能</w:t>
            </w:r>
            <w:r>
              <w:rPr>
                <w:rFonts w:hint="eastAsia" w:ascii="宋体"/>
                <w:b w:val="0"/>
                <w:bCs/>
                <w:color w:val="000000" w:themeColor="text1"/>
                <w:szCs w:val="21"/>
                <w:lang w:eastAsia="zh-CN"/>
              </w:rPr>
              <w:t>□</w:t>
            </w:r>
            <w:r>
              <w:rPr>
                <w:rFonts w:hint="eastAsia" w:ascii="宋体"/>
                <w:b w:val="0"/>
                <w:bCs/>
                <w:color w:val="000000" w:themeColor="text1"/>
                <w:szCs w:val="21"/>
              </w:rPr>
              <w:t>其他</w:t>
            </w:r>
          </w:p>
          <w:p>
            <w:pPr>
              <w:rPr>
                <w:rFonts w:ascii="宋体"/>
                <w:b w:val="0"/>
                <w:bCs/>
                <w:color w:val="000000" w:themeColor="text1"/>
                <w:szCs w:val="21"/>
              </w:rPr>
            </w:pPr>
          </w:p>
          <w:p>
            <w:pPr>
              <w:rPr>
                <w:rFonts w:ascii="宋体"/>
                <w:b w:val="0"/>
                <w:bCs/>
                <w:color w:val="000000" w:themeColor="text1"/>
                <w:szCs w:val="21"/>
              </w:rPr>
            </w:pPr>
          </w:p>
          <w:p>
            <w:pPr>
              <w:rPr>
                <w:rFonts w:ascii="宋体"/>
                <w:b w:val="0"/>
                <w:bCs/>
                <w:color w:val="000000" w:themeColor="text1"/>
                <w:szCs w:val="21"/>
              </w:rPr>
            </w:pPr>
          </w:p>
          <w:p>
            <w:pPr>
              <w:rPr>
                <w:rFonts w:ascii="宋体"/>
                <w:b w:val="0"/>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bookmarkStart w:id="34" w:name="_GoBack"/>
            <w:r>
              <w:t>机电产品和电气设备的测控、仿真系统的研发</w:t>
            </w:r>
            <w:bookmarkEnd w:id="29"/>
            <w:bookmarkEnd w:id="3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19.14.00;34.05.00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top"/>
          </w:tcPr>
          <w:p>
            <w:pPr>
              <w:jc w:val="left"/>
            </w:pPr>
            <w:r>
              <w:rPr>
                <w:rFonts w:hint="eastAsia"/>
              </w:rPr>
              <w:t>体系文件实施时间</w:t>
            </w:r>
          </w:p>
        </w:tc>
        <w:tc>
          <w:tcPr>
            <w:tcW w:w="2733" w:type="dxa"/>
            <w:vAlign w:val="top"/>
          </w:tcPr>
          <w:p>
            <w:pPr>
              <w:jc w:val="left"/>
              <w:rPr>
                <w:rFonts w:hint="eastAsia" w:eastAsia="宋体"/>
                <w:lang w:val="en-US" w:eastAsia="zh-CN"/>
              </w:rPr>
            </w:pPr>
            <w:r>
              <w:rPr>
                <w:rFonts w:hint="eastAsia" w:ascii="宋体" w:hAnsi="宋体"/>
                <w:b/>
                <w:color w:val="000000" w:themeColor="text1"/>
                <w:sz w:val="20"/>
                <w:szCs w:val="20"/>
              </w:rPr>
              <w:t>2017</w:t>
            </w:r>
            <w:r>
              <w:rPr>
                <w:rFonts w:hint="eastAsia"/>
              </w:rPr>
              <w:t>年月</w:t>
            </w:r>
            <w:r>
              <w:rPr>
                <w:rFonts w:hint="eastAsia"/>
                <w:lang w:val="en-US" w:eastAsia="zh-CN"/>
              </w:rPr>
              <w:t>11</w:t>
            </w:r>
            <w:r>
              <w:rPr>
                <w:rFonts w:hint="eastAsia"/>
              </w:rPr>
              <w:t>日</w:t>
            </w:r>
            <w:r>
              <w:rPr>
                <w:rFonts w:hint="eastAsia" w:ascii="宋体" w:hAnsi="宋体"/>
                <w:b/>
                <w:color w:val="000000" w:themeColor="text1"/>
                <w:sz w:val="20"/>
                <w:szCs w:val="20"/>
              </w:rPr>
              <w:t>5</w:t>
            </w:r>
            <w:r>
              <w:rPr>
                <w:rFonts w:hint="eastAsia" w:ascii="宋体" w:hAnsi="宋体"/>
                <w:b/>
                <w:color w:val="000000" w:themeColor="text1"/>
                <w:sz w:val="20"/>
                <w:szCs w:val="20"/>
                <w:lang w:val="en-US" w:eastAsia="zh-CN"/>
              </w:rPr>
              <w:t>日</w:t>
            </w:r>
          </w:p>
          <w:p>
            <w:pPr>
              <w:jc w:val="left"/>
            </w:pP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color w:val="000000"/>
                <w:szCs w:val="21"/>
              </w:rPr>
              <w:t xml:space="preserve"> </w:t>
            </w:r>
            <w:r>
              <w:rPr>
                <w:rFonts w:hint="eastAsia"/>
                <w:color w:val="000000"/>
                <w:szCs w:val="21"/>
              </w:rPr>
              <w:t>2020年09月13日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7</w:t>
            </w:r>
            <w:r>
              <w:rPr>
                <w:rFonts w:hint="eastAsia"/>
              </w:rPr>
              <w:t>月</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82"/>
        <w:gridCol w:w="129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647" w:type="dxa"/>
            <w:shd w:val="clear" w:color="auto" w:fill="F3F3F3"/>
            <w:tcMar>
              <w:left w:w="57" w:type="dxa"/>
              <w:right w:w="57" w:type="dxa"/>
            </w:tcMar>
          </w:tcPr>
          <w:p>
            <w:r>
              <w:rPr>
                <w:rFonts w:hint="eastAsia"/>
              </w:rPr>
              <w:t>场所编号</w:t>
            </w:r>
          </w:p>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182" w:type="dxa"/>
            <w:shd w:val="clear" w:color="auto" w:fill="F3F3F3"/>
            <w:tcMar>
              <w:left w:w="57" w:type="dxa"/>
              <w:right w:w="57" w:type="dxa"/>
            </w:tcMar>
          </w:tcPr>
          <w:p>
            <w:r>
              <w:rPr>
                <w:rFonts w:hint="eastAsia"/>
              </w:rPr>
              <w:t>审核范围（产品和过程）</w:t>
            </w:r>
          </w:p>
          <w:p/>
          <w:p/>
        </w:tc>
        <w:tc>
          <w:tcPr>
            <w:tcW w:w="129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t>西安市高新区高新路88号6幢1单元12511室</w:t>
            </w:r>
          </w:p>
        </w:tc>
        <w:tc>
          <w:tcPr>
            <w:tcW w:w="2267" w:type="dxa"/>
          </w:tcPr>
          <w:p>
            <w:pPr>
              <w:rPr>
                <w:lang w:val="de-DE" w:eastAsia="ja-JP"/>
              </w:rPr>
            </w:pPr>
            <w:r>
              <w:t>西安市高新区高新路88号6幢1单元12511室</w:t>
            </w:r>
          </w:p>
        </w:tc>
        <w:tc>
          <w:tcPr>
            <w:tcW w:w="571" w:type="dxa"/>
            <w:vAlign w:val="center"/>
          </w:tcPr>
          <w:p>
            <w:pPr>
              <w:rPr>
                <w:rFonts w:hint="default" w:eastAsia="宋体"/>
                <w:lang w:val="en-US" w:eastAsia="zh-CN"/>
              </w:rPr>
            </w:pPr>
            <w:r>
              <w:rPr>
                <w:rFonts w:hint="eastAsia"/>
                <w:lang w:val="en-US" w:eastAsia="zh-CN"/>
              </w:rPr>
              <w:t xml:space="preserve"> 16</w:t>
            </w:r>
          </w:p>
        </w:tc>
        <w:tc>
          <w:tcPr>
            <w:tcW w:w="2182" w:type="dxa"/>
            <w:vAlign w:val="center"/>
          </w:tcPr>
          <w:p>
            <w:pPr>
              <w:rPr>
                <w:lang w:eastAsia="ja-JP"/>
              </w:rPr>
            </w:pPr>
            <w:r>
              <w:rPr>
                <w:rFonts w:hint="eastAsia" w:ascii="宋体" w:hAnsi="宋体"/>
              </w:rPr>
              <w:t xml:space="preserve">机电产品和电气设备的测控、仿真系统的研发 </w:t>
            </w:r>
          </w:p>
        </w:tc>
        <w:tc>
          <w:tcPr>
            <w:tcW w:w="1290" w:type="dxa"/>
            <w:vAlign w:val="center"/>
          </w:tcPr>
          <w:p>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82" w:type="dxa"/>
            <w:vAlign w:val="center"/>
          </w:tcPr>
          <w:p>
            <w:pPr>
              <w:rPr>
                <w:lang w:eastAsia="ja-JP"/>
              </w:rPr>
            </w:pPr>
          </w:p>
        </w:tc>
        <w:tc>
          <w:tcPr>
            <w:tcW w:w="129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82" w:type="dxa"/>
            <w:vAlign w:val="center"/>
          </w:tcPr>
          <w:p>
            <w:pPr>
              <w:rPr>
                <w:lang w:eastAsia="ja-JP"/>
              </w:rPr>
            </w:pPr>
          </w:p>
        </w:tc>
        <w:tc>
          <w:tcPr>
            <w:tcW w:w="129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82" w:type="dxa"/>
            <w:vAlign w:val="center"/>
          </w:tcPr>
          <w:p>
            <w:pPr>
              <w:rPr>
                <w:lang w:eastAsia="ja-JP"/>
              </w:rPr>
            </w:pPr>
          </w:p>
        </w:tc>
        <w:tc>
          <w:tcPr>
            <w:tcW w:w="129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82" w:type="dxa"/>
            <w:vAlign w:val="center"/>
          </w:tcPr>
          <w:p>
            <w:pPr>
              <w:rPr>
                <w:lang w:eastAsia="ja-JP"/>
              </w:rPr>
            </w:pPr>
          </w:p>
        </w:tc>
        <w:tc>
          <w:tcPr>
            <w:tcW w:w="1290"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lang w:eastAsia="zh-CN"/>
              </w:rPr>
              <w:t>□</w:t>
            </w:r>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pPr>
        <w:rPr>
          <w:rFonts w:hint="eastAsia"/>
        </w:rPr>
      </w:pPr>
    </w:p>
    <w:p>
      <w:pPr>
        <w:rPr>
          <w:rFonts w:hint="eastAsia"/>
        </w:rPr>
      </w:pPr>
    </w:p>
    <w:p>
      <w:pPr>
        <w:rPr>
          <w:rFonts w:hint="eastAsia"/>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2018-N1QMS-1222792</w:t>
            </w:r>
          </w:p>
        </w:tc>
        <w:tc>
          <w:tcPr>
            <w:tcW w:w="2179" w:type="dxa"/>
            <w:vAlign w:val="center"/>
          </w:tcPr>
          <w:p>
            <w:r>
              <w:t>19.14.00,34.05.00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上次监督审核出具的不符合已整改。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pPr>
        <w:ind w:firstLine="420" w:firstLineChars="200"/>
      </w:pPr>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ind w:firstLine="420" w:firstLineChars="200"/>
      </w:pPr>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t>机电产品和电气设备的测控、仿真系统的研发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color w:val="000000" w:themeColor="text1"/>
                <w14:textFill>
                  <w14:solidFill>
                    <w14:schemeClr w14:val="tx1"/>
                  </w14:solidFill>
                </w14:textFill>
              </w:rPr>
            </w:pPr>
            <w:r>
              <w:rPr>
                <w:rFonts w:hint="eastAsia" w:ascii="宋体" w:hAnsi="宋体"/>
                <w:b/>
                <w:color w:val="000000" w:themeColor="text1"/>
                <w:spacing w:val="-10"/>
                <w:szCs w:val="21"/>
                <w14:textFill>
                  <w14:solidFill>
                    <w14:schemeClr w14:val="tx1"/>
                  </w14:solidFill>
                </w14:textFill>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可能降低可靠性的障碍</w:t>
            </w:r>
          </w:p>
        </w:tc>
        <w:tc>
          <w:tcPr>
            <w:tcW w:w="8350" w:type="dxa"/>
            <w:gridSpan w:val="2"/>
            <w:shd w:val="clear" w:color="auto" w:fill="auto"/>
            <w:vAlign w:val="center"/>
          </w:tcPr>
          <w:p>
            <w:pPr>
              <w:rPr>
                <w:rFonts w:ascii="宋体"/>
                <w:b/>
                <w:color w:val="000000" w:themeColor="text1"/>
                <w:szCs w:val="21"/>
                <w14:textFill>
                  <w14:solidFill>
                    <w14:schemeClr w14:val="tx1"/>
                  </w14:solidFill>
                </w14:textFill>
              </w:rPr>
            </w:pPr>
            <w:r>
              <w:rPr>
                <w:rFonts w:hint="eastAsia" w:ascii="宋体"/>
                <w:b/>
                <w:color w:val="000000" w:themeColor="text1"/>
                <w:szCs w:val="21"/>
                <w:lang w:eastAsia="zh-CN"/>
                <w14:textFill>
                  <w14:solidFill>
                    <w14:schemeClr w14:val="tx1"/>
                  </w14:solidFill>
                </w14:textFill>
              </w:rPr>
              <w:t>□</w:t>
            </w:r>
            <w:r>
              <w:rPr>
                <w:rFonts w:hint="eastAsia" w:ascii="宋体"/>
                <w:b/>
                <w:color w:val="000000" w:themeColor="text1"/>
                <w:szCs w:val="21"/>
                <w14:textFill>
                  <w14:solidFill>
                    <w14:schemeClr w14:val="tx1"/>
                  </w14:solidFill>
                </w14:textFill>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突发事件的情况</w:t>
            </w:r>
          </w:p>
        </w:tc>
        <w:tc>
          <w:tcPr>
            <w:tcW w:w="8350" w:type="dxa"/>
            <w:gridSpan w:val="2"/>
            <w:shd w:val="clear" w:color="auto" w:fill="auto"/>
            <w:vAlign w:val="center"/>
          </w:tcPr>
          <w:p>
            <w:pP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突发事件的处置措施</w:t>
            </w:r>
          </w:p>
        </w:tc>
        <w:tc>
          <w:tcPr>
            <w:tcW w:w="8294" w:type="dxa"/>
            <w:gridSpan w:val="3"/>
            <w:tcMar>
              <w:left w:w="113" w:type="dxa"/>
            </w:tcMar>
            <w:vAlign w:val="center"/>
          </w:tcPr>
          <w:p>
            <w:pP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□中止审核□终止审核☑延迟审核□改为现场审核</w:t>
            </w:r>
          </w:p>
          <w:p>
            <w:pPr>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远程审核的有效性评价（适用时）</w:t>
            </w:r>
          </w:p>
        </w:tc>
        <w:tc>
          <w:tcPr>
            <w:tcW w:w="8294" w:type="dxa"/>
            <w:gridSpan w:val="3"/>
            <w:tcMar>
              <w:left w:w="113" w:type="dxa"/>
            </w:tcMar>
          </w:tcPr>
          <w:p>
            <w:pPr>
              <w:spacing w:line="280" w:lineRule="exact"/>
              <w:rPr>
                <w:color w:val="000000" w:themeColor="text1"/>
                <w14:textFill>
                  <w14:solidFill>
                    <w14:schemeClr w14:val="tx1"/>
                  </w14:solidFill>
                </w14:textFill>
              </w:rPr>
            </w:pPr>
            <w:r>
              <w:rPr>
                <w:rFonts w:hint="eastAsia" w:ascii="宋体" w:hAnsi="宋体"/>
                <w:b/>
                <w:color w:val="000000" w:themeColor="text1"/>
                <w:spacing w:val="-10"/>
                <w:szCs w:val="21"/>
                <w14:textFill>
                  <w14:solidFill>
                    <w14:schemeClr w14:val="tx1"/>
                  </w14:solidFill>
                </w14:textFill>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14:textFill>
                  <w14:solidFill>
                    <w14:schemeClr w14:val="tx1"/>
                  </w14:solidFill>
                </w14:textFill>
              </w:rPr>
            </w:pPr>
          </w:p>
        </w:tc>
        <w:tc>
          <w:tcPr>
            <w:tcW w:w="8294" w:type="dxa"/>
            <w:gridSpan w:val="3"/>
            <w:tcMar>
              <w:left w:w="113" w:type="dxa"/>
            </w:tcMar>
          </w:tcPr>
          <w:p>
            <w:pPr>
              <w:spacing w:line="280" w:lineRule="exact"/>
              <w:rPr>
                <w:color w:val="000000" w:themeColor="text1"/>
                <w14:textFill>
                  <w14:solidFill>
                    <w14:schemeClr w14:val="tx1"/>
                  </w14:solidFill>
                </w14:textFill>
              </w:rPr>
            </w:pPr>
            <w:r>
              <w:rPr>
                <w:rFonts w:hint="eastAsia" w:ascii="宋体" w:hAnsi="宋体"/>
                <w:b/>
                <w:color w:val="000000" w:themeColor="text1"/>
                <w:spacing w:val="-10"/>
                <w:szCs w:val="21"/>
                <w14:textFill>
                  <w14:solidFill>
                    <w14:schemeClr w14:val="tx1"/>
                  </w14:solidFill>
                </w14:textFill>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审核组长签字</w:t>
            </w:r>
          </w:p>
        </w:tc>
        <w:tc>
          <w:tcPr>
            <w:tcW w:w="2764" w:type="dxa"/>
            <w:tcMar>
              <w:left w:w="113" w:type="dxa"/>
            </w:tcMar>
          </w:tcPr>
          <w:p>
            <w:pPr>
              <w:rPr>
                <w:color w:val="000000" w:themeColor="text1"/>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107315</wp:posOffset>
                  </wp:positionH>
                  <wp:positionV relativeFrom="paragraph">
                    <wp:posOffset>-635</wp:posOffset>
                  </wp:positionV>
                  <wp:extent cx="402590" cy="309245"/>
                  <wp:effectExtent l="0" t="0" r="3810" b="825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02590" cy="309245"/>
                          </a:xfrm>
                          <a:prstGeom prst="rect">
                            <a:avLst/>
                          </a:prstGeom>
                        </pic:spPr>
                      </pic:pic>
                    </a:graphicData>
                  </a:graphic>
                </wp:anchor>
              </w:drawing>
            </w:r>
          </w:p>
          <w:p>
            <w:pPr>
              <w:rPr>
                <w:color w:val="000000" w:themeColor="text1"/>
                <w14:textFill>
                  <w14:solidFill>
                    <w14:schemeClr w14:val="tx1"/>
                  </w14:solidFill>
                </w14:textFill>
              </w:rPr>
            </w:pPr>
          </w:p>
        </w:tc>
        <w:tc>
          <w:tcPr>
            <w:tcW w:w="2764" w:type="dxa"/>
            <w:tcMar>
              <w:left w:w="113" w:type="dxa"/>
            </w:tcMa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tc>
        <w:tc>
          <w:tcPr>
            <w:tcW w:w="2766" w:type="dxa"/>
            <w:tcMar>
              <w:left w:w="113" w:type="dxa"/>
            </w:tcMar>
            <w:vAlign w:val="center"/>
          </w:tcPr>
          <w:p>
            <w:pPr>
              <w:rPr>
                <w:rFonts w:hint="default" w:ascii="宋体" w:eastAsia="宋体"/>
                <w:b/>
                <w:color w:val="000000" w:themeColor="text1"/>
                <w:szCs w:val="21"/>
                <w:lang w:val="en-US" w:eastAsia="zh-CN"/>
                <w14:textFill>
                  <w14:solidFill>
                    <w14:schemeClr w14:val="tx1"/>
                  </w14:solidFill>
                </w14:textFill>
              </w:rPr>
            </w:pPr>
            <w:r>
              <w:rPr>
                <w:rFonts w:hint="eastAsia" w:ascii="宋体"/>
                <w:b/>
                <w:color w:val="000000" w:themeColor="text1"/>
                <w:szCs w:val="21"/>
                <w:lang w:val="en-US" w:eastAsia="zh-CN"/>
                <w14:textFill>
                  <w14:solidFill>
                    <w14:schemeClr w14:val="tx1"/>
                  </w14:solidFill>
                </w14:textFill>
              </w:rPr>
              <w:t>2021.10.10</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r>
        <w:rPr>
          <w:rFonts w:hint="eastAsia"/>
        </w:rPr>
        <w:t>十五、附件</w:t>
      </w:r>
    </w:p>
    <w:p>
      <w:r>
        <w:t>1. 审核计划（含项目清单）</w:t>
      </w:r>
    </w:p>
    <w:p>
      <w:r>
        <w:t>2. 不符合报告/问题清单</w:t>
      </w:r>
    </w:p>
    <w:p>
      <w:r>
        <w:t xml:space="preserve">3. </w:t>
      </w:r>
      <w:r>
        <w:rPr>
          <w:rFonts w:hint="eastAsia"/>
        </w:rPr>
        <w:t>其他</w:t>
      </w:r>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t>附件ISO 9001:2015</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原材料订制□生产/服务过程</w:t>
            </w:r>
            <w:r>
              <w:rPr>
                <w:rFonts w:hint="eastAsia"/>
                <w:lang w:eastAsia="zh-CN"/>
              </w:rPr>
              <w:t>☑</w:t>
            </w:r>
            <w:r>
              <w:rPr>
                <w:rFonts w:hint="eastAsia"/>
              </w:rPr>
              <w:t>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ascii="宋体" w:hAnsi="宋体"/>
                <w:color w:val="000000" w:themeColor="text1"/>
                <w:szCs w:val="21"/>
              </w:rPr>
            </w:pPr>
            <w:r>
              <w:rPr>
                <w:rFonts w:hint="eastAsia"/>
              </w:rPr>
              <w:t>最高管理者制定了文件化的管理体系方针：</w:t>
            </w:r>
            <w:r>
              <w:rPr>
                <w:rFonts w:hint="eastAsia" w:ascii="宋体" w:hAnsi="宋体"/>
                <w:color w:val="000000" w:themeColor="text1"/>
                <w:szCs w:val="21"/>
                <w:u w:val="single"/>
              </w:rPr>
              <w:t>精湛设计、优质服务，</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hint="eastAsia"/>
              </w:rPr>
            </w:pPr>
            <w:r>
              <w:rPr>
                <w:rFonts w:hint="eastAsia"/>
              </w:rPr>
              <w:t>策划</w:t>
            </w:r>
          </w:p>
        </w:tc>
        <w:tc>
          <w:tcPr>
            <w:tcW w:w="8748" w:type="dxa"/>
            <w:shd w:val="clear" w:color="auto" w:fill="C7DAF1" w:themeFill="text2" w:themeFillTint="32"/>
          </w:tcPr>
          <w:p>
            <w:pPr>
              <w:shd w:val="clear" w:color="auto" w:fill="C7DAF1" w:themeFill="text2" w:themeFillTint="32"/>
              <w:rPr>
                <w:rFonts w:hint="eastAsia"/>
              </w:rPr>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rPr>
                  </w:pPr>
                  <w:r>
                    <w:rPr>
                      <w:rFonts w:hint="eastAsia"/>
                    </w:rPr>
                    <w:t>主要的风险或机遇描述</w:t>
                  </w:r>
                </w:p>
              </w:tc>
              <w:tc>
                <w:tcPr>
                  <w:tcW w:w="3965" w:type="dxa"/>
                </w:tcPr>
                <w:p>
                  <w:pPr>
                    <w:shd w:val="clear" w:color="auto" w:fill="C7DAF1" w:themeFill="text2" w:themeFillTint="32"/>
                    <w:rPr>
                      <w:rFonts w:hint="eastAsia"/>
                    </w:rPr>
                  </w:pPr>
                  <w:r>
                    <w:rPr>
                      <w:rFonts w:hint="eastAsia"/>
                    </w:rPr>
                    <w:t>应对措施</w:t>
                  </w:r>
                </w:p>
              </w:tc>
              <w:tc>
                <w:tcPr>
                  <w:tcW w:w="1717" w:type="dxa"/>
                </w:tcPr>
                <w:p>
                  <w:pPr>
                    <w:shd w:val="clear" w:color="auto" w:fill="C7DAF1" w:themeFill="text2" w:themeFillTint="32"/>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rPr>
                  </w:pPr>
                  <w:r>
                    <w:rPr>
                      <w:rFonts w:hint="eastAsia"/>
                    </w:rPr>
                    <w:t>对市场需要产品的发展趋势判断失误。</w:t>
                  </w:r>
                </w:p>
              </w:tc>
              <w:tc>
                <w:tcPr>
                  <w:tcW w:w="3965" w:type="dxa"/>
                  <w:vAlign w:val="top"/>
                </w:tcPr>
                <w:p>
                  <w:pPr>
                    <w:shd w:val="clear" w:color="auto" w:fill="C7DAF1" w:themeFill="text2" w:themeFillTint="32"/>
                    <w:rPr>
                      <w:rFonts w:hint="eastAsia"/>
                    </w:rPr>
                  </w:pPr>
                  <w:r>
                    <w:rPr>
                      <w:rFonts w:hint="eastAsia"/>
                    </w:rPr>
                    <w:t>对市场需求产品的发展趋势分析应该经过反复论证。</w:t>
                  </w:r>
                </w:p>
              </w:tc>
              <w:tc>
                <w:tcPr>
                  <w:tcW w:w="1717" w:type="dxa"/>
                  <w:vAlign w:val="center"/>
                </w:tcPr>
                <w:p>
                  <w:pPr>
                    <w:shd w:val="clear" w:color="auto" w:fill="C7DAF1" w:themeFill="text2" w:themeFillTint="32"/>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rPr>
                  </w:pPr>
                  <w:r>
                    <w:rPr>
                      <w:rFonts w:hint="eastAsia"/>
                    </w:rPr>
                    <w:t>客户要求识别不完整。</w:t>
                  </w:r>
                </w:p>
              </w:tc>
              <w:tc>
                <w:tcPr>
                  <w:tcW w:w="3965" w:type="dxa"/>
                  <w:vAlign w:val="top"/>
                </w:tcPr>
                <w:p>
                  <w:pPr>
                    <w:shd w:val="clear" w:color="auto" w:fill="C7DAF1" w:themeFill="text2" w:themeFillTint="32"/>
                    <w:rPr>
                      <w:rFonts w:hint="eastAsia"/>
                    </w:rPr>
                  </w:pPr>
                  <w:r>
                    <w:rPr>
                      <w:rFonts w:hint="eastAsia"/>
                    </w:rPr>
                    <w:t>对客户的要求实施监视和测量。</w:t>
                  </w:r>
                </w:p>
              </w:tc>
              <w:tc>
                <w:tcPr>
                  <w:tcW w:w="1717" w:type="dxa"/>
                  <w:vAlign w:val="center"/>
                </w:tcPr>
                <w:p>
                  <w:pPr>
                    <w:shd w:val="clear" w:color="auto" w:fill="C7DAF1" w:themeFill="text2" w:themeFillTint="32"/>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rPr>
                  </w:pPr>
                  <w:r>
                    <w:rPr>
                      <w:rFonts w:hint="eastAsia"/>
                    </w:rPr>
                    <w:t>未能确保能够满足客户要求就签署合同</w:t>
                  </w:r>
                </w:p>
              </w:tc>
              <w:tc>
                <w:tcPr>
                  <w:tcW w:w="3965" w:type="dxa"/>
                  <w:vAlign w:val="top"/>
                </w:tcPr>
                <w:p>
                  <w:pPr>
                    <w:shd w:val="clear" w:color="auto" w:fill="C7DAF1" w:themeFill="text2" w:themeFillTint="32"/>
                    <w:rPr>
                      <w:rFonts w:hint="eastAsia"/>
                    </w:rPr>
                  </w:pPr>
                  <w:r>
                    <w:rPr>
                      <w:rFonts w:hint="eastAsia"/>
                    </w:rPr>
                    <w:t>在确定与客户签署合同前落实合同评审事宜。</w:t>
                  </w:r>
                </w:p>
              </w:tc>
              <w:tc>
                <w:tcPr>
                  <w:tcW w:w="1717" w:type="dxa"/>
                  <w:vAlign w:val="center"/>
                </w:tcPr>
                <w:p>
                  <w:pPr>
                    <w:shd w:val="clear" w:color="auto" w:fill="C7DAF1" w:themeFill="text2" w:themeFillTint="32"/>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rPr>
                  </w:pPr>
                  <w:r>
                    <w:rPr>
                      <w:rFonts w:hint="eastAsia"/>
                    </w:rPr>
                    <w:t>产品研发周期长，跟不上市场变化。</w:t>
                  </w:r>
                </w:p>
              </w:tc>
              <w:tc>
                <w:tcPr>
                  <w:tcW w:w="3965" w:type="dxa"/>
                  <w:vAlign w:val="top"/>
                </w:tcPr>
                <w:p>
                  <w:pPr>
                    <w:shd w:val="clear" w:color="auto" w:fill="C7DAF1" w:themeFill="text2" w:themeFillTint="32"/>
                    <w:rPr>
                      <w:rFonts w:hint="eastAsia"/>
                    </w:rPr>
                  </w:pPr>
                  <w:r>
                    <w:rPr>
                      <w:rFonts w:hint="eastAsia"/>
                    </w:rPr>
                    <w:t>加大设计开发的资源投入，尽可能缩短</w:t>
                  </w:r>
                </w:p>
              </w:tc>
              <w:tc>
                <w:tcPr>
                  <w:tcW w:w="1717" w:type="dxa"/>
                  <w:vAlign w:val="center"/>
                </w:tcPr>
                <w:p>
                  <w:pPr>
                    <w:shd w:val="clear" w:color="auto" w:fill="C7DAF1" w:themeFill="text2" w:themeFillTint="32"/>
                    <w:rPr>
                      <w:rFonts w:hint="eastAsia"/>
                    </w:rPr>
                  </w:pPr>
                  <w:r>
                    <w:rPr>
                      <w:rFonts w:hint="eastAsia"/>
                    </w:rPr>
                    <w:t>有效</w:t>
                  </w:r>
                </w:p>
              </w:tc>
            </w:tr>
          </w:tbl>
          <w:p>
            <w:pPr>
              <w:shd w:val="clear" w:color="auto" w:fill="C7DAF1" w:themeFill="text2" w:themeFillTint="3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91" w:type="dxa"/>
                  <w:shd w:val="clear" w:color="auto" w:fill="auto"/>
                </w:tcPr>
                <w:p>
                  <w:pPr>
                    <w:shd w:val="clear" w:color="auto" w:fill="C7DAF1" w:themeFill="text2" w:themeFillTint="32"/>
                    <w:rPr>
                      <w:rFonts w:hint="eastAsia"/>
                    </w:rPr>
                  </w:pPr>
                  <w:r>
                    <w:rPr>
                      <w:rFonts w:hint="eastAsia"/>
                    </w:rPr>
                    <w:t>质量目标</w:t>
                  </w:r>
                </w:p>
              </w:tc>
              <w:tc>
                <w:tcPr>
                  <w:tcW w:w="3136" w:type="dxa"/>
                  <w:shd w:val="clear" w:color="auto" w:fill="auto"/>
                </w:tcPr>
                <w:p>
                  <w:pPr>
                    <w:shd w:val="clear" w:color="auto" w:fill="C7DAF1" w:themeFill="text2" w:themeFillTint="32"/>
                    <w:rPr>
                      <w:rFonts w:hint="eastAsia"/>
                    </w:rPr>
                  </w:pPr>
                  <w:r>
                    <w:rPr>
                      <w:rFonts w:hint="eastAsia"/>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项目设计优良率达到</w:t>
                  </w:r>
                  <w:r>
                    <w:rPr>
                      <w:rFonts w:hint="eastAsia"/>
                      <w:lang w:val="en-US" w:eastAsia="zh-CN"/>
                    </w:rPr>
                    <w:t>9</w:t>
                  </w:r>
                  <w:r>
                    <w:rPr>
                      <w:rFonts w:hint="eastAsia"/>
                    </w:rPr>
                    <w:t>0%；</w:t>
                  </w:r>
                </w:p>
              </w:tc>
              <w:tc>
                <w:tcPr>
                  <w:tcW w:w="3136" w:type="dxa"/>
                  <w:shd w:val="clear" w:color="auto" w:fill="auto"/>
                  <w:vAlign w:val="center"/>
                </w:tcPr>
                <w:p>
                  <w:pPr>
                    <w:shd w:val="clear" w:color="auto" w:fill="C7DAF1" w:themeFill="text2" w:themeFillTint="32"/>
                    <w:rPr>
                      <w:lang w:val="en-GB"/>
                    </w:rPr>
                  </w:pPr>
                  <w:r>
                    <w:rPr>
                      <w:rFonts w:hint="eastAsia" w:ascii="宋体" w:hAnsi="宋体"/>
                      <w:bCs/>
                      <w:color w:val="000000"/>
                      <w:szCs w:val="21"/>
                    </w:rPr>
                    <w:t>项目设计优良率=设计优良数÷设计产品总数×100%。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设计部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szCs w:val="21"/>
                      <w:lang w:val="zh-CN"/>
                    </w:rPr>
                    <w:t>顾客满意达到85%；</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bCs/>
                      <w:color w:val="000000"/>
                      <w:szCs w:val="21"/>
                    </w:rPr>
                    <w:t>顾客满意率=顾客满意总和 ÷顾客总数×100%。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w:t>
            </w:r>
            <w:r>
              <w:rPr>
                <w:rFonts w:hint="eastAsia"/>
                <w:lang w:eastAsia="zh-CN"/>
              </w:rPr>
              <w:t>□</w:t>
            </w:r>
            <w:r>
              <w:rPr>
                <w:rFonts w:hint="eastAsia"/>
              </w:rPr>
              <w:t>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办公</w:t>
            </w:r>
            <w:r>
              <w:rPr>
                <w:rFonts w:hint="eastAsia"/>
                <w:color w:val="000000" w:themeColor="text1"/>
                <w14:textFill>
                  <w14:solidFill>
                    <w14:schemeClr w14:val="tx1"/>
                  </w14:solidFill>
                </w14:textFill>
              </w:rPr>
              <w:t>面积</w:t>
            </w:r>
            <w:r>
              <w:rPr>
                <w:rFonts w:hint="eastAsia"/>
                <w:color w:val="000000" w:themeColor="text1"/>
                <w:u w:val="single"/>
                <w:lang w:val="en-US" w:eastAsia="zh-CN"/>
                <w14:textFill>
                  <w14:solidFill>
                    <w14:schemeClr w14:val="tx1"/>
                  </w14:solidFill>
                </w14:textFill>
              </w:rPr>
              <w:t xml:space="preserve"> 294 </w:t>
            </w:r>
            <w:r>
              <w:rPr>
                <w:rFonts w:hint="eastAsia"/>
                <w:color w:val="000000" w:themeColor="text1"/>
                <w14:textFill>
                  <w14:solidFill>
                    <w14:schemeClr w14:val="tx1"/>
                  </w14:solidFill>
                </w14:textFill>
              </w:rPr>
              <w:t>平方米；生产车间</w:t>
            </w:r>
            <w:r>
              <w:rPr>
                <w:rFonts w:hint="eastAsia"/>
                <w:color w:val="000000" w:themeColor="text1"/>
                <w:u w:val="single"/>
                <w:lang w:val="en-US" w:eastAsia="zh-CN"/>
                <w14:textFill>
                  <w14:solidFill>
                    <w14:schemeClr w14:val="tx1"/>
                  </w14:solidFill>
                </w14:textFill>
              </w:rPr>
              <w:t xml:space="preserve"> 0</w:t>
            </w:r>
            <w:r>
              <w:rPr>
                <w:rFonts w:hint="eastAsia"/>
                <w:color w:val="000000" w:themeColor="text1"/>
                <w14:textFill>
                  <w14:solidFill>
                    <w14:schemeClr w14:val="tx1"/>
                  </w14:solidFill>
                </w14:textFill>
              </w:rPr>
              <w:t>个；库房</w:t>
            </w:r>
            <w:r>
              <w:rPr>
                <w:rFonts w:hint="eastAsia"/>
                <w:color w:val="000000" w:themeColor="text1"/>
                <w:u w:val="single"/>
                <w:lang w:val="en-US" w:eastAsia="zh-CN"/>
                <w14:textFill>
                  <w14:solidFill>
                    <w14:schemeClr w14:val="tx1"/>
                  </w14:solidFill>
                </w14:textFill>
              </w:rPr>
              <w:t xml:space="preserve"> 0 </w:t>
            </w:r>
            <w:r>
              <w:rPr>
                <w:rFonts w:hint="eastAsia"/>
                <w:color w:val="000000" w:themeColor="text1"/>
                <w14:textFill>
                  <w14:solidFill>
                    <w14:schemeClr w14:val="tx1"/>
                  </w14:solidFill>
                </w14:textFill>
              </w:rPr>
              <w:t>个；实验室</w:t>
            </w:r>
            <w:r>
              <w:rPr>
                <w:rFonts w:hint="eastAsia"/>
                <w:color w:val="000000" w:themeColor="text1"/>
                <w:u w:val="single"/>
                <w:lang w:val="en-US" w:eastAsia="zh-CN"/>
                <w14:textFill>
                  <w14:solidFill>
                    <w14:schemeClr w14:val="tx1"/>
                  </w14:solidFill>
                </w14:textFill>
              </w:rPr>
              <w:t xml:space="preserve"> 1</w:t>
            </w:r>
            <w:r>
              <w:rPr>
                <w:rFonts w:hint="eastAsia"/>
                <w:color w:val="000000" w:themeColor="text1"/>
                <w14:textFill>
                  <w14:solidFill>
                    <w14:schemeClr w14:val="tx1"/>
                  </w14:solidFill>
                </w14:textFill>
              </w:rPr>
              <w:t>个；</w:t>
            </w:r>
          </w:p>
          <w:p>
            <w:pPr>
              <w:shd w:val="clear" w:color="auto" w:fill="C7DAF1" w:themeFill="text2" w:themeFillTint="32"/>
              <w:rPr>
                <w:u w:val="single"/>
              </w:rPr>
            </w:pPr>
            <w:r>
              <w:rPr>
                <w:rFonts w:hint="eastAsia"/>
              </w:rPr>
              <w:t>主要生产设备有：</w:t>
            </w:r>
            <w:r>
              <w:rPr>
                <w:rFonts w:hint="eastAsia"/>
                <w:szCs w:val="22"/>
                <w:u w:val="single"/>
              </w:rPr>
              <w:t>电脑、打印机、网络</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组织的监视和测量资源：</w:t>
            </w:r>
            <w:r>
              <w:rPr>
                <w:rFonts w:hint="eastAsia"/>
                <w:lang w:eastAsia="zh-CN"/>
              </w:rPr>
              <w:t>□</w:t>
            </w:r>
            <w:r>
              <w:rPr>
                <w:rFonts w:hint="eastAsia"/>
              </w:rPr>
              <w:t>计量器具</w:t>
            </w:r>
            <w:r>
              <w:rPr>
                <w:rFonts w:hint="eastAsia"/>
                <w:lang w:eastAsia="zh-CN"/>
              </w:rPr>
              <w:t>□</w:t>
            </w:r>
            <w:r>
              <w:rPr>
                <w:rFonts w:hint="eastAsia"/>
              </w:rPr>
              <w:t>服务流程检查表</w:t>
            </w:r>
            <w:r>
              <w:rPr>
                <w:rFonts w:hint="eastAsia"/>
                <w:lang w:eastAsia="zh-CN"/>
              </w:rPr>
              <w:t>□</w:t>
            </w:r>
            <w:r>
              <w:rPr>
                <w:rFonts w:hint="eastAsia"/>
              </w:rPr>
              <w:t>其他</w:t>
            </w:r>
          </w:p>
          <w:p>
            <w:pPr>
              <w:shd w:val="clear" w:color="auto" w:fill="C7DAF1" w:themeFill="text2" w:themeFillTint="32"/>
              <w:rPr>
                <w:rFonts w:hint="eastAsia"/>
              </w:rPr>
            </w:pPr>
            <w:r>
              <w:rPr>
                <w:rFonts w:hint="eastAsia"/>
              </w:rPr>
              <w:t>计量器具的测量溯源方法：</w:t>
            </w:r>
            <w:r>
              <w:rPr>
                <w:rFonts w:hint="eastAsia"/>
                <w:lang w:eastAsia="zh-CN"/>
              </w:rPr>
              <w:t>□</w:t>
            </w:r>
            <w:r>
              <w:rPr>
                <w:rFonts w:hint="eastAsia"/>
              </w:rPr>
              <w:t>自校</w:t>
            </w:r>
            <w:r>
              <w:rPr>
                <w:rFonts w:hint="eastAsia"/>
                <w:lang w:eastAsia="zh-CN"/>
              </w:rPr>
              <w:t>□</w:t>
            </w:r>
            <w:r>
              <w:rPr>
                <w:rFonts w:hint="eastAsia"/>
              </w:rPr>
              <w:t>外校</w:t>
            </w:r>
          </w:p>
          <w:p>
            <w:pPr>
              <w:shd w:val="clear" w:color="auto" w:fill="C7DAF1" w:themeFill="text2" w:themeFillTint="32"/>
              <w:rPr>
                <w:rFonts w:hint="eastAsia"/>
              </w:rPr>
            </w:pPr>
            <w:r>
              <w:rPr>
                <w:rFonts w:hint="eastAsia"/>
              </w:rPr>
              <w:t>国家强检的计量器具有：（列举1~4种）</w:t>
            </w:r>
          </w:p>
          <w:p>
            <w:pPr>
              <w:shd w:val="clear" w:color="auto" w:fill="C7DAF1" w:themeFill="text2" w:themeFillTint="32"/>
              <w:rPr>
                <w:u w:val="single"/>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供电分系统智能配电装置管理软件开发与测试</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rFonts w:hint="eastAsia"/>
              </w:rPr>
            </w:pPr>
            <w:r>
              <w:rPr>
                <w:rFonts w:hint="eastAsia"/>
              </w:rPr>
              <w:t>认证范围内每种产品/服务流程的关键过程及控制参数：</w:t>
            </w:r>
          </w:p>
          <w:p>
            <w:pPr>
              <w:pStyle w:val="2"/>
              <w:rPr>
                <w:rFonts w:hint="eastAsia"/>
              </w:rPr>
            </w:pPr>
          </w:p>
          <w:p>
            <w:pPr>
              <w:pStyle w:val="2"/>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t>机电产品和电气设备的测控、仿真系统</w:t>
                  </w:r>
                </w:p>
              </w:tc>
              <w:tc>
                <w:tcPr>
                  <w:tcW w:w="3665" w:type="dxa"/>
                </w:tcPr>
                <w:p>
                  <w:pPr>
                    <w:shd w:val="clear" w:color="auto" w:fill="C7DAF1" w:themeFill="text2" w:themeFillTint="32"/>
                    <w:jc w:val="left"/>
                  </w:pPr>
                  <w:r>
                    <w:rPr>
                      <w:rFonts w:hint="eastAsia"/>
                    </w:rPr>
                    <w:t>软件开发与测试</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功能输出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仿宋" w:hAnsi="仿宋" w:eastAsia="仿宋"/>
                <w:szCs w:val="21"/>
              </w:rPr>
              <w:t>2021年6月19日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最高管理者已按策划的时间间隔，在2021年7月10日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jc w:val="center"/>
              <w:rPr>
                <w:lang w:eastAsia="ja-JP"/>
              </w:rPr>
            </w:pPr>
            <w:r>
              <w:rPr>
                <w:rFonts w:hint="eastAsia"/>
              </w:rPr>
              <w:t>4.1</w:t>
            </w:r>
          </w:p>
        </w:tc>
        <w:tc>
          <w:tcPr>
            <w:tcW w:w="650" w:type="dxa"/>
            <w:vAlign w:val="center"/>
          </w:tcPr>
          <w:p>
            <w:pPr>
              <w:shd w:val="clear" w:color="auto" w:fill="C7DAF1" w:themeFill="text2" w:themeFillTint="32"/>
              <w:jc w:val="center"/>
              <w:rPr>
                <w:lang w:eastAsia="ja-JP"/>
              </w:rPr>
            </w:pPr>
            <w:r>
              <w:rPr>
                <w:rFonts w:hint="eastAsia"/>
              </w:rPr>
              <w:t>4.2</w:t>
            </w:r>
          </w:p>
        </w:tc>
        <w:tc>
          <w:tcPr>
            <w:tcW w:w="650" w:type="dxa"/>
            <w:vAlign w:val="center"/>
          </w:tcPr>
          <w:p>
            <w:pPr>
              <w:shd w:val="clear" w:color="auto" w:fill="C7DAF1" w:themeFill="text2" w:themeFillTint="32"/>
              <w:jc w:val="center"/>
              <w:rPr>
                <w:lang w:eastAsia="ja-JP"/>
              </w:rPr>
            </w:pPr>
            <w:r>
              <w:rPr>
                <w:rFonts w:hint="eastAsia"/>
              </w:rPr>
              <w:t>4.3</w:t>
            </w:r>
          </w:p>
        </w:tc>
        <w:tc>
          <w:tcPr>
            <w:tcW w:w="649" w:type="dxa"/>
            <w:vAlign w:val="center"/>
          </w:tcPr>
          <w:p>
            <w:pPr>
              <w:shd w:val="clear" w:color="auto" w:fill="C7DAF1" w:themeFill="text2" w:themeFillTint="32"/>
              <w:jc w:val="center"/>
              <w:rPr>
                <w:lang w:eastAsia="ja-JP"/>
              </w:rPr>
            </w:pPr>
            <w:r>
              <w:rPr>
                <w:rFonts w:hint="eastAsia"/>
              </w:rPr>
              <w:t>4.4</w:t>
            </w:r>
          </w:p>
        </w:tc>
        <w:tc>
          <w:tcPr>
            <w:tcW w:w="650" w:type="dxa"/>
            <w:vAlign w:val="center"/>
          </w:tcPr>
          <w:p>
            <w:pPr>
              <w:shd w:val="clear" w:color="auto" w:fill="C7DAF1" w:themeFill="text2" w:themeFillTint="32"/>
              <w:jc w:val="center"/>
              <w:rPr>
                <w:lang w:eastAsia="ja-JP"/>
              </w:rPr>
            </w:pPr>
            <w:r>
              <w:rPr>
                <w:rFonts w:hint="eastAsia"/>
              </w:rPr>
              <w:t>5.1</w:t>
            </w:r>
          </w:p>
        </w:tc>
        <w:tc>
          <w:tcPr>
            <w:tcW w:w="650" w:type="dxa"/>
            <w:vAlign w:val="center"/>
          </w:tcPr>
          <w:p>
            <w:pPr>
              <w:shd w:val="clear" w:color="auto" w:fill="C7DAF1" w:themeFill="text2" w:themeFillTint="32"/>
              <w:jc w:val="center"/>
              <w:rPr>
                <w:lang w:eastAsia="ja-JP"/>
              </w:rPr>
            </w:pPr>
            <w:r>
              <w:rPr>
                <w:rFonts w:hint="eastAsia"/>
              </w:rPr>
              <w:t>5.2</w:t>
            </w:r>
          </w:p>
        </w:tc>
        <w:tc>
          <w:tcPr>
            <w:tcW w:w="649" w:type="dxa"/>
            <w:vAlign w:val="center"/>
          </w:tcPr>
          <w:p>
            <w:pPr>
              <w:shd w:val="clear" w:color="auto" w:fill="C7DAF1" w:themeFill="text2" w:themeFillTint="32"/>
              <w:jc w:val="center"/>
              <w:rPr>
                <w:lang w:eastAsia="ja-JP"/>
              </w:rPr>
            </w:pPr>
            <w:r>
              <w:rPr>
                <w:rFonts w:hint="eastAsia"/>
              </w:rPr>
              <w:t>5.3</w:t>
            </w:r>
          </w:p>
        </w:tc>
        <w:tc>
          <w:tcPr>
            <w:tcW w:w="650" w:type="dxa"/>
            <w:vAlign w:val="center"/>
          </w:tcPr>
          <w:p>
            <w:pPr>
              <w:shd w:val="clear" w:color="auto" w:fill="C7DAF1" w:themeFill="text2" w:themeFillTint="32"/>
              <w:jc w:val="center"/>
              <w:rPr>
                <w:lang w:eastAsia="ja-JP"/>
              </w:rPr>
            </w:pPr>
            <w:r>
              <w:rPr>
                <w:rFonts w:hint="eastAsia"/>
              </w:rPr>
              <w:t>6.1</w:t>
            </w:r>
          </w:p>
        </w:tc>
        <w:tc>
          <w:tcPr>
            <w:tcW w:w="650" w:type="dxa"/>
            <w:vAlign w:val="center"/>
          </w:tcPr>
          <w:p>
            <w:pPr>
              <w:shd w:val="clear" w:color="auto" w:fill="C7DAF1" w:themeFill="text2" w:themeFillTint="32"/>
              <w:jc w:val="center"/>
              <w:rPr>
                <w:lang w:eastAsia="ja-JP"/>
              </w:rPr>
            </w:pPr>
            <w:r>
              <w:rPr>
                <w:rFonts w:hint="eastAsia"/>
              </w:rPr>
              <w:t>6.2</w:t>
            </w:r>
          </w:p>
        </w:tc>
        <w:tc>
          <w:tcPr>
            <w:tcW w:w="649" w:type="dxa"/>
            <w:vAlign w:val="center"/>
          </w:tcPr>
          <w:p>
            <w:pPr>
              <w:shd w:val="clear" w:color="auto" w:fill="C7DAF1" w:themeFill="text2" w:themeFillTint="32"/>
              <w:jc w:val="center"/>
              <w:rPr>
                <w:lang w:eastAsia="ja-JP"/>
              </w:rPr>
            </w:pPr>
            <w:r>
              <w:rPr>
                <w:rFonts w:hint="eastAsia"/>
              </w:rPr>
              <w:t>6.3</w:t>
            </w:r>
          </w:p>
        </w:tc>
        <w:tc>
          <w:tcPr>
            <w:tcW w:w="650" w:type="dxa"/>
            <w:shd w:val="clear" w:color="auto" w:fill="BFBFBF"/>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jc w:val="center"/>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jc w:val="center"/>
              <w:rPr>
                <w:rFonts w:hint="eastAsia" w:eastAsia="宋体"/>
                <w:lang w:val="en-US" w:eastAsia="zh-CN"/>
              </w:rPr>
            </w:pPr>
          </w:p>
        </w:tc>
        <w:tc>
          <w:tcPr>
            <w:tcW w:w="650"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49"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49"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49" w:type="dxa"/>
            <w:vAlign w:val="center"/>
          </w:tcPr>
          <w:p>
            <w:pPr>
              <w:shd w:val="clear" w:color="auto" w:fill="C7DAF1" w:themeFill="text2" w:themeFillTint="32"/>
              <w:jc w:val="center"/>
              <w:rPr>
                <w:lang w:eastAsia="ja-JP"/>
              </w:rPr>
            </w:pPr>
          </w:p>
        </w:tc>
        <w:tc>
          <w:tcPr>
            <w:tcW w:w="650" w:type="dxa"/>
            <w:shd w:val="clear" w:color="auto" w:fill="BFBFBF"/>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jc w:val="center"/>
              <w:rPr>
                <w:lang w:eastAsia="ja-JP"/>
              </w:rPr>
            </w:pPr>
            <w:r>
              <w:rPr>
                <w:rFonts w:hint="eastAsia"/>
              </w:rPr>
              <w:t>7.1</w:t>
            </w:r>
          </w:p>
        </w:tc>
        <w:tc>
          <w:tcPr>
            <w:tcW w:w="650" w:type="dxa"/>
            <w:vAlign w:val="center"/>
          </w:tcPr>
          <w:p>
            <w:pPr>
              <w:shd w:val="clear" w:color="auto" w:fill="C7DAF1" w:themeFill="text2" w:themeFillTint="32"/>
              <w:jc w:val="center"/>
              <w:rPr>
                <w:lang w:eastAsia="ja-JP"/>
              </w:rPr>
            </w:pPr>
            <w:r>
              <w:rPr>
                <w:rFonts w:hint="eastAsia"/>
              </w:rPr>
              <w:t>7.2</w:t>
            </w:r>
          </w:p>
        </w:tc>
        <w:tc>
          <w:tcPr>
            <w:tcW w:w="650" w:type="dxa"/>
            <w:vAlign w:val="center"/>
          </w:tcPr>
          <w:p>
            <w:pPr>
              <w:shd w:val="clear" w:color="auto" w:fill="C7DAF1" w:themeFill="text2" w:themeFillTint="32"/>
              <w:jc w:val="center"/>
              <w:rPr>
                <w:lang w:eastAsia="ja-JP"/>
              </w:rPr>
            </w:pPr>
            <w:r>
              <w:rPr>
                <w:rFonts w:hint="eastAsia"/>
              </w:rPr>
              <w:t>7.3</w:t>
            </w:r>
          </w:p>
        </w:tc>
        <w:tc>
          <w:tcPr>
            <w:tcW w:w="649" w:type="dxa"/>
            <w:vAlign w:val="center"/>
          </w:tcPr>
          <w:p>
            <w:pPr>
              <w:shd w:val="clear" w:color="auto" w:fill="C7DAF1" w:themeFill="text2" w:themeFillTint="32"/>
              <w:jc w:val="center"/>
              <w:rPr>
                <w:lang w:eastAsia="ja-JP"/>
              </w:rPr>
            </w:pPr>
            <w:r>
              <w:rPr>
                <w:rFonts w:hint="eastAsia"/>
              </w:rPr>
              <w:t>7.4</w:t>
            </w:r>
          </w:p>
        </w:tc>
        <w:tc>
          <w:tcPr>
            <w:tcW w:w="650" w:type="dxa"/>
            <w:vAlign w:val="center"/>
          </w:tcPr>
          <w:p>
            <w:pPr>
              <w:shd w:val="clear" w:color="auto" w:fill="C7DAF1" w:themeFill="text2" w:themeFillTint="32"/>
              <w:jc w:val="center"/>
              <w:rPr>
                <w:lang w:eastAsia="ja-JP"/>
              </w:rPr>
            </w:pPr>
            <w:r>
              <w:rPr>
                <w:rFonts w:hint="eastAsia"/>
              </w:rPr>
              <w:t>7.5</w:t>
            </w:r>
          </w:p>
        </w:tc>
        <w:tc>
          <w:tcPr>
            <w:tcW w:w="650" w:type="dxa"/>
            <w:vAlign w:val="center"/>
          </w:tcPr>
          <w:p>
            <w:pPr>
              <w:shd w:val="clear" w:color="auto" w:fill="C7DAF1" w:themeFill="text2" w:themeFillTint="32"/>
              <w:jc w:val="center"/>
              <w:rPr>
                <w:lang w:eastAsia="ja-JP"/>
              </w:rPr>
            </w:pPr>
            <w:r>
              <w:rPr>
                <w:rFonts w:hint="eastAsia"/>
              </w:rPr>
              <w:t>8.1</w:t>
            </w:r>
          </w:p>
        </w:tc>
        <w:tc>
          <w:tcPr>
            <w:tcW w:w="649" w:type="dxa"/>
            <w:vAlign w:val="center"/>
          </w:tcPr>
          <w:p>
            <w:pPr>
              <w:shd w:val="clear" w:color="auto" w:fill="C7DAF1" w:themeFill="text2" w:themeFillTint="32"/>
              <w:jc w:val="center"/>
              <w:rPr>
                <w:lang w:eastAsia="ja-JP"/>
              </w:rPr>
            </w:pPr>
            <w:r>
              <w:rPr>
                <w:rFonts w:hint="eastAsia"/>
              </w:rPr>
              <w:t>8.2</w:t>
            </w:r>
          </w:p>
        </w:tc>
        <w:tc>
          <w:tcPr>
            <w:tcW w:w="650" w:type="dxa"/>
            <w:vAlign w:val="center"/>
          </w:tcPr>
          <w:p>
            <w:pPr>
              <w:shd w:val="clear" w:color="auto" w:fill="C7DAF1" w:themeFill="text2" w:themeFillTint="32"/>
              <w:jc w:val="center"/>
              <w:rPr>
                <w:lang w:eastAsia="ja-JP"/>
              </w:rPr>
            </w:pPr>
            <w:r>
              <w:rPr>
                <w:rFonts w:hint="eastAsia"/>
              </w:rPr>
              <w:t>8.3</w:t>
            </w:r>
          </w:p>
        </w:tc>
        <w:tc>
          <w:tcPr>
            <w:tcW w:w="650" w:type="dxa"/>
            <w:vAlign w:val="center"/>
          </w:tcPr>
          <w:p>
            <w:pPr>
              <w:shd w:val="clear" w:color="auto" w:fill="C7DAF1" w:themeFill="text2" w:themeFillTint="32"/>
              <w:jc w:val="center"/>
              <w:rPr>
                <w:lang w:eastAsia="ja-JP"/>
              </w:rPr>
            </w:pPr>
            <w:r>
              <w:rPr>
                <w:rFonts w:hint="eastAsia"/>
              </w:rPr>
              <w:t>8.4</w:t>
            </w:r>
          </w:p>
        </w:tc>
        <w:tc>
          <w:tcPr>
            <w:tcW w:w="649" w:type="dxa"/>
            <w:vAlign w:val="center"/>
          </w:tcPr>
          <w:p>
            <w:pPr>
              <w:shd w:val="clear" w:color="auto" w:fill="C7DAF1" w:themeFill="text2" w:themeFillTint="32"/>
              <w:jc w:val="center"/>
              <w:rPr>
                <w:lang w:eastAsia="ja-JP"/>
              </w:rPr>
            </w:pPr>
            <w:r>
              <w:rPr>
                <w:rFonts w:hint="eastAsia"/>
              </w:rPr>
              <w:t>8.5</w:t>
            </w:r>
          </w:p>
        </w:tc>
        <w:tc>
          <w:tcPr>
            <w:tcW w:w="650" w:type="dxa"/>
            <w:vAlign w:val="center"/>
          </w:tcPr>
          <w:p>
            <w:pPr>
              <w:shd w:val="clear" w:color="auto" w:fill="C7DAF1" w:themeFill="text2" w:themeFillTint="32"/>
              <w:jc w:val="center"/>
              <w:rPr>
                <w:lang w:eastAsia="ja-JP"/>
              </w:rPr>
            </w:pPr>
            <w:r>
              <w:rPr>
                <w:rFonts w:hint="eastAsia"/>
              </w:rPr>
              <w:t>8.6</w:t>
            </w:r>
          </w:p>
        </w:tc>
        <w:tc>
          <w:tcPr>
            <w:tcW w:w="650" w:type="dxa"/>
            <w:vAlign w:val="center"/>
          </w:tcPr>
          <w:p>
            <w:pPr>
              <w:shd w:val="clear" w:color="auto" w:fill="C7DAF1" w:themeFill="text2" w:themeFillTint="32"/>
              <w:jc w:val="center"/>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49"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49" w:type="dxa"/>
            <w:tcBorders>
              <w:bottom w:val="single" w:color="auto" w:sz="4" w:space="0"/>
            </w:tcBorders>
            <w:vAlign w:val="center"/>
          </w:tcPr>
          <w:p>
            <w:pPr>
              <w:shd w:val="clear" w:color="auto" w:fill="C7DAF1" w:themeFill="text2" w:themeFillTint="32"/>
              <w:jc w:val="center"/>
              <w:rPr>
                <w:lang w:eastAsia="ja-JP"/>
              </w:rPr>
            </w:pPr>
          </w:p>
        </w:tc>
        <w:tc>
          <w:tcPr>
            <w:tcW w:w="650" w:type="dxa"/>
            <w:tcBorders>
              <w:bottom w:val="single" w:color="auto" w:sz="4" w:space="0"/>
            </w:tcBorders>
            <w:vAlign w:val="center"/>
          </w:tcPr>
          <w:p>
            <w:pPr>
              <w:shd w:val="clear" w:color="auto" w:fill="C7DAF1" w:themeFill="text2" w:themeFillTint="32"/>
              <w:jc w:val="center"/>
              <w:rPr>
                <w:lang w:eastAsia="ja-JP"/>
              </w:rPr>
            </w:pPr>
          </w:p>
        </w:tc>
        <w:tc>
          <w:tcPr>
            <w:tcW w:w="650" w:type="dxa"/>
            <w:tcBorders>
              <w:bottom w:val="single" w:color="auto" w:sz="4" w:space="0"/>
            </w:tcBorders>
            <w:vAlign w:val="center"/>
          </w:tcPr>
          <w:p>
            <w:pPr>
              <w:shd w:val="clear" w:color="auto" w:fill="C7DAF1" w:themeFill="text2" w:themeFillTint="32"/>
              <w:jc w:val="center"/>
              <w:rPr>
                <w:lang w:eastAsia="ja-JP"/>
              </w:rPr>
            </w:pPr>
          </w:p>
        </w:tc>
        <w:tc>
          <w:tcPr>
            <w:tcW w:w="649" w:type="dxa"/>
            <w:tcBorders>
              <w:bottom w:val="single" w:color="auto" w:sz="4" w:space="0"/>
            </w:tcBorders>
            <w:vAlign w:val="center"/>
          </w:tcPr>
          <w:p>
            <w:pPr>
              <w:shd w:val="clear" w:color="auto" w:fill="C7DAF1" w:themeFill="text2" w:themeFillTint="32"/>
              <w:jc w:val="center"/>
              <w:rPr>
                <w:lang w:eastAsia="ja-JP"/>
              </w:rPr>
            </w:pPr>
          </w:p>
        </w:tc>
        <w:tc>
          <w:tcPr>
            <w:tcW w:w="650" w:type="dxa"/>
            <w:tcBorders>
              <w:bottom w:val="single" w:color="auto" w:sz="4" w:space="0"/>
            </w:tcBorders>
            <w:vAlign w:val="center"/>
          </w:tcPr>
          <w:p>
            <w:pPr>
              <w:shd w:val="clear" w:color="auto" w:fill="C7DAF1" w:themeFill="text2" w:themeFillTint="32"/>
              <w:jc w:val="center"/>
              <w:rPr>
                <w:lang w:eastAsia="ja-JP"/>
              </w:rPr>
            </w:pPr>
          </w:p>
        </w:tc>
        <w:tc>
          <w:tcPr>
            <w:tcW w:w="650" w:type="dxa"/>
            <w:tcBorders>
              <w:bottom w:val="single" w:color="auto" w:sz="4" w:space="0"/>
            </w:tcBorders>
            <w:vAlign w:val="center"/>
          </w:tcPr>
          <w:p>
            <w:pPr>
              <w:shd w:val="clear" w:color="auto" w:fill="C7DAF1" w:themeFill="text2"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jc w:val="center"/>
              <w:rPr>
                <w:lang w:eastAsia="ja-JP"/>
              </w:rPr>
            </w:pPr>
            <w:r>
              <w:rPr>
                <w:rFonts w:hint="eastAsia"/>
              </w:rPr>
              <w:t>9.1</w:t>
            </w:r>
          </w:p>
        </w:tc>
        <w:tc>
          <w:tcPr>
            <w:tcW w:w="650" w:type="dxa"/>
            <w:vAlign w:val="center"/>
          </w:tcPr>
          <w:p>
            <w:pPr>
              <w:shd w:val="clear" w:color="auto" w:fill="C7DAF1" w:themeFill="text2" w:themeFillTint="32"/>
              <w:jc w:val="center"/>
              <w:rPr>
                <w:lang w:eastAsia="ja-JP"/>
              </w:rPr>
            </w:pPr>
            <w:r>
              <w:rPr>
                <w:rFonts w:hint="eastAsia"/>
              </w:rPr>
              <w:t>9.2</w:t>
            </w:r>
          </w:p>
        </w:tc>
        <w:tc>
          <w:tcPr>
            <w:tcW w:w="650" w:type="dxa"/>
            <w:vAlign w:val="center"/>
          </w:tcPr>
          <w:p>
            <w:pPr>
              <w:shd w:val="clear" w:color="auto" w:fill="C7DAF1" w:themeFill="text2" w:themeFillTint="32"/>
              <w:jc w:val="center"/>
              <w:rPr>
                <w:lang w:eastAsia="ja-JP"/>
              </w:rPr>
            </w:pPr>
            <w:r>
              <w:rPr>
                <w:rFonts w:hint="eastAsia"/>
              </w:rPr>
              <w:t>9.3</w:t>
            </w:r>
          </w:p>
        </w:tc>
        <w:tc>
          <w:tcPr>
            <w:tcW w:w="649" w:type="dxa"/>
            <w:vAlign w:val="center"/>
          </w:tcPr>
          <w:p>
            <w:pPr>
              <w:shd w:val="clear" w:color="auto" w:fill="C7DAF1" w:themeFill="text2" w:themeFillTint="32"/>
              <w:jc w:val="center"/>
              <w:rPr>
                <w:lang w:eastAsia="ja-JP"/>
              </w:rPr>
            </w:pPr>
            <w:r>
              <w:rPr>
                <w:rFonts w:hint="eastAsia"/>
              </w:rPr>
              <w:t>10.1</w:t>
            </w:r>
          </w:p>
        </w:tc>
        <w:tc>
          <w:tcPr>
            <w:tcW w:w="650" w:type="dxa"/>
            <w:vAlign w:val="center"/>
          </w:tcPr>
          <w:p>
            <w:pPr>
              <w:shd w:val="clear" w:color="auto" w:fill="C7DAF1" w:themeFill="text2" w:themeFillTint="32"/>
              <w:jc w:val="center"/>
              <w:rPr>
                <w:lang w:eastAsia="ja-JP"/>
              </w:rPr>
            </w:pPr>
            <w:r>
              <w:rPr>
                <w:rFonts w:hint="eastAsia"/>
              </w:rPr>
              <w:t>10.2</w:t>
            </w:r>
          </w:p>
        </w:tc>
        <w:tc>
          <w:tcPr>
            <w:tcW w:w="650" w:type="dxa"/>
            <w:vAlign w:val="center"/>
          </w:tcPr>
          <w:p>
            <w:pPr>
              <w:shd w:val="clear" w:color="auto" w:fill="C7DAF1" w:themeFill="text2" w:themeFillTint="32"/>
              <w:jc w:val="center"/>
              <w:rPr>
                <w:lang w:eastAsia="ja-JP"/>
              </w:rPr>
            </w:pPr>
            <w:r>
              <w:rPr>
                <w:rFonts w:hint="eastAsia"/>
              </w:rPr>
              <w:t>10.3</w:t>
            </w:r>
          </w:p>
        </w:tc>
        <w:tc>
          <w:tcPr>
            <w:tcW w:w="649"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c>
          <w:tcPr>
            <w:tcW w:w="649"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c>
          <w:tcPr>
            <w:tcW w:w="649"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85E307F"/>
    <w:rsid w:val="0C430B93"/>
    <w:rsid w:val="689358A7"/>
    <w:rsid w:val="7EC56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6</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2021-10-10T09:08:35Z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