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2C" w:rsidRPr="00600D13" w:rsidRDefault="007F5F9F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600D1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8262C" w:rsidRPr="00600D13">
        <w:trPr>
          <w:trHeight w:val="515"/>
        </w:trPr>
        <w:tc>
          <w:tcPr>
            <w:tcW w:w="1809" w:type="dxa"/>
            <w:vMerge w:val="restart"/>
            <w:vAlign w:val="center"/>
          </w:tcPr>
          <w:p w:rsidR="0028262C" w:rsidRPr="00600D13" w:rsidRDefault="007F5F9F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8262C" w:rsidRPr="00600D13" w:rsidRDefault="007F5F9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8262C" w:rsidRPr="00600D13" w:rsidRDefault="007F5F9F">
            <w:pPr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受审核部门：质检部    </w:t>
            </w:r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proofErr w:type="gramStart"/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章八林</w:t>
            </w:r>
            <w:proofErr w:type="gramEnd"/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557CF" w:rsidRPr="00600D13">
              <w:rPr>
                <w:rFonts w:ascii="楷体" w:eastAsia="楷体" w:hAnsi="楷体" w:hint="eastAsia"/>
                <w:sz w:val="24"/>
                <w:szCs w:val="24"/>
              </w:rPr>
              <w:t>任宇阳</w:t>
            </w:r>
          </w:p>
        </w:tc>
        <w:tc>
          <w:tcPr>
            <w:tcW w:w="1585" w:type="dxa"/>
            <w:vMerge w:val="restart"/>
            <w:vAlign w:val="center"/>
          </w:tcPr>
          <w:p w:rsidR="0028262C" w:rsidRPr="00600D13" w:rsidRDefault="007F5F9F">
            <w:pPr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8262C" w:rsidRPr="00600D13">
        <w:trPr>
          <w:trHeight w:val="403"/>
        </w:trPr>
        <w:tc>
          <w:tcPr>
            <w:tcW w:w="1809" w:type="dxa"/>
            <w:vMerge/>
            <w:vAlign w:val="center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8262C" w:rsidRPr="00600D13" w:rsidRDefault="007F5F9F" w:rsidP="00777B7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77B7A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="009029F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审核时间：202</w:t>
            </w:r>
            <w:r w:rsidR="00777B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77B7A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77B7A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</w:p>
        </w:tc>
        <w:tc>
          <w:tcPr>
            <w:tcW w:w="1585" w:type="dxa"/>
            <w:vMerge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516"/>
        </w:trPr>
        <w:tc>
          <w:tcPr>
            <w:tcW w:w="1809" w:type="dxa"/>
            <w:vMerge/>
            <w:vAlign w:val="center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审核条款：QMS:7.1.5监视和测量资源不适用确认、8.6产品和服务的放行，</w:t>
            </w:r>
            <w:r w:rsidRPr="00600D13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28262C" w:rsidRPr="00600D13" w:rsidRDefault="007F5F9F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EMS: 6.1.2环境因素辨识与评价、8.1运行策划和控制，</w:t>
            </w:r>
          </w:p>
        </w:tc>
        <w:tc>
          <w:tcPr>
            <w:tcW w:w="1585" w:type="dxa"/>
            <w:vMerge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1255"/>
        </w:trPr>
        <w:tc>
          <w:tcPr>
            <w:tcW w:w="1809" w:type="dxa"/>
            <w:vAlign w:val="center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28262C" w:rsidRPr="00600D13" w:rsidRDefault="007F5F9F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公司目前未使用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1255"/>
        </w:trPr>
        <w:tc>
          <w:tcPr>
            <w:tcW w:w="1809" w:type="dxa"/>
            <w:vAlign w:val="center"/>
          </w:tcPr>
          <w:p w:rsidR="0028262C" w:rsidRPr="00600D13" w:rsidRDefault="007F5F9F">
            <w:pPr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7F5F9F" w:rsidP="00600D1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8262C" w:rsidRPr="00600D13" w:rsidRDefault="0028262C" w:rsidP="00600D1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029F3" w:rsidRDefault="009029F3" w:rsidP="009029F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该公司制订了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销售作业指导书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公司产品的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销售及销售服务过程进行了质量控制的规定。</w:t>
            </w:r>
          </w:p>
          <w:p w:rsidR="0028262C" w:rsidRPr="00600D13" w:rsidRDefault="007F5F9F" w:rsidP="009029F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组织确定了产品所要求的检验方法，按行业相关标准、客户要求实施产品验证，并制定了相应的检验规范。</w:t>
            </w:r>
          </w:p>
          <w:p w:rsidR="0028262C" w:rsidRPr="00600D13" w:rsidRDefault="009029F3" w:rsidP="00600D1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7F5F9F" w:rsidRPr="00600D13">
              <w:rPr>
                <w:rFonts w:ascii="楷体" w:eastAsia="楷体" w:hAnsi="楷体" w:hint="eastAsia"/>
                <w:sz w:val="24"/>
                <w:szCs w:val="24"/>
              </w:rPr>
              <w:t>产品检验：检验依据采购物资检验规范。</w:t>
            </w:r>
          </w:p>
          <w:p w:rsidR="0028262C" w:rsidRPr="00600D13" w:rsidRDefault="007F5F9F" w:rsidP="009029F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每批采购入库前质检员进行入库检验，主要是查验数量、规格、包装，合格后准许入库，填写</w:t>
            </w:r>
            <w:r w:rsidR="009029F3" w:rsidRPr="009029F3">
              <w:rPr>
                <w:rFonts w:ascii="楷体" w:eastAsia="楷体" w:hAnsi="楷体" w:hint="eastAsia"/>
                <w:sz w:val="24"/>
                <w:szCs w:val="24"/>
              </w:rPr>
              <w:t>进货成品验收</w:t>
            </w:r>
            <w:r w:rsidR="009029F3" w:rsidRPr="009029F3">
              <w:rPr>
                <w:rFonts w:ascii="楷体" w:eastAsia="楷体" w:hAnsi="楷体" w:hint="eastAsia"/>
                <w:sz w:val="24"/>
                <w:szCs w:val="24"/>
              </w:rPr>
              <w:t>记录和入库单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，抽查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9029F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29F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29F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C062BF" w:rsidRPr="009029F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9029F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062BF" w:rsidRPr="009029F3">
              <w:rPr>
                <w:rFonts w:ascii="楷体" w:eastAsia="楷体" w:hAnsi="楷体" w:hint="eastAsia"/>
                <w:sz w:val="24"/>
                <w:szCs w:val="24"/>
              </w:rPr>
              <w:t>.7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29F3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9029F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062BF" w:rsidRPr="009029F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9029F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日等</w:t>
            </w:r>
            <w:r w:rsidR="009029F3" w:rsidRPr="009029F3">
              <w:rPr>
                <w:rFonts w:ascii="楷体" w:eastAsia="楷体" w:hAnsi="楷体" w:hint="eastAsia"/>
                <w:sz w:val="24"/>
                <w:szCs w:val="24"/>
              </w:rPr>
              <w:t>进货成品验收</w:t>
            </w:r>
            <w:r w:rsidR="009029F3" w:rsidRPr="009029F3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，入库检验产品主要</w:t>
            </w:r>
            <w:r w:rsidRPr="009029F3">
              <w:rPr>
                <w:rFonts w:ascii="楷体" w:eastAsia="楷体" w:hAnsi="楷体" w:hint="eastAsia"/>
                <w:sz w:val="24"/>
                <w:szCs w:val="24"/>
              </w:rPr>
              <w:t>包括羟胺、绝缘树脂等，入库检验产品能涵盖公司认证范围等的产品。</w:t>
            </w:r>
          </w:p>
          <w:p w:rsidR="0028262C" w:rsidRPr="00600D13" w:rsidRDefault="007F5F9F" w:rsidP="009029F3">
            <w:pPr>
              <w:pStyle w:val="ad"/>
              <w:spacing w:line="360" w:lineRule="auto"/>
              <w:ind w:left="0" w:firstLineChars="200" w:firstLine="480"/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hint="eastAsia"/>
                <w:szCs w:val="24"/>
              </w:rPr>
              <w:t>检查销售</w:t>
            </w:r>
            <w:r w:rsidR="00E3068F" w:rsidRPr="00600D13">
              <w:rPr>
                <w:rFonts w:ascii="楷体" w:eastAsia="楷体" w:hAnsi="楷体" w:hint="eastAsia"/>
                <w:szCs w:val="24"/>
              </w:rPr>
              <w:t>产品</w:t>
            </w:r>
            <w:r w:rsidR="005C3CD3" w:rsidRPr="00600D13">
              <w:rPr>
                <w:rFonts w:ascii="楷体" w:eastAsia="楷体" w:hAnsi="楷体" w:hint="eastAsia"/>
                <w:szCs w:val="24"/>
              </w:rPr>
              <w:t>及销售服务质量</w:t>
            </w:r>
            <w:r w:rsidR="00E3068F" w:rsidRPr="00600D13">
              <w:rPr>
                <w:rFonts w:ascii="楷体" w:eastAsia="楷体" w:hAnsi="楷体" w:hint="eastAsia"/>
                <w:szCs w:val="24"/>
              </w:rPr>
              <w:t>的检验</w:t>
            </w:r>
            <w:r w:rsidRPr="00600D13">
              <w:rPr>
                <w:rFonts w:ascii="楷体" w:eastAsia="楷体" w:hAnsi="楷体" w:hint="eastAsia"/>
                <w:szCs w:val="24"/>
              </w:rPr>
              <w:t>（包括交付后的产品质量）</w:t>
            </w:r>
          </w:p>
          <w:p w:rsidR="009029F3" w:rsidRPr="00FD4017" w:rsidRDefault="009029F3" w:rsidP="009029F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提供了“销售服务过程检查记录表”</w:t>
            </w:r>
            <w:r w:rsidR="00613121">
              <w:rPr>
                <w:rFonts w:ascii="楷体" w:eastAsia="楷体" w:hAnsi="楷体" w:cs="楷体" w:hint="eastAsia"/>
                <w:sz w:val="24"/>
                <w:szCs w:val="24"/>
              </w:rPr>
              <w:t>、“</w:t>
            </w:r>
            <w:r w:rsidR="00613121" w:rsidRPr="00613121">
              <w:rPr>
                <w:rFonts w:ascii="楷体" w:eastAsia="楷体" w:hAnsi="楷体" w:cs="楷体" w:hint="eastAsia"/>
                <w:sz w:val="24"/>
                <w:szCs w:val="24"/>
              </w:rPr>
              <w:t>过程监控</w:t>
            </w:r>
            <w:r w:rsidR="00613121" w:rsidRPr="00613121"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 w:rsidR="00613121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，对销售服务质量进行了监督检查。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检查项目包括接单过程、采购过程、检验过程、交付过程、售后服务过程等质量情况。</w:t>
            </w:r>
          </w:p>
          <w:p w:rsidR="009029F3" w:rsidRDefault="009029F3" w:rsidP="009029F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613121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1312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日的“销售服务过程检查记录表”，检查情况：符合，检查人：</w:t>
            </w:r>
            <w:r w:rsidR="00613121" w:rsidRPr="00613121">
              <w:rPr>
                <w:rFonts w:ascii="楷体" w:eastAsia="楷体" w:hAnsi="楷体" w:cs="楷体" w:hint="eastAsia"/>
                <w:sz w:val="24"/>
                <w:szCs w:val="24"/>
              </w:rPr>
              <w:t>任宇阳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029F3" w:rsidRDefault="009029F3" w:rsidP="009029F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提供了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销售流程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服务人员态度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售后服务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等进行了定期检查.</w:t>
            </w:r>
          </w:p>
          <w:p w:rsidR="009029F3" w:rsidRDefault="009029F3" w:rsidP="009029F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8768DB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”，检查情况：符合，检查人：</w:t>
            </w:r>
            <w:r w:rsidR="008768DB" w:rsidRPr="008768DB">
              <w:rPr>
                <w:rFonts w:ascii="楷体" w:eastAsia="楷体" w:hAnsi="楷体" w:cs="楷体" w:hint="eastAsia"/>
                <w:sz w:val="24"/>
                <w:szCs w:val="24"/>
              </w:rPr>
              <w:t>任宇阳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029F3" w:rsidRPr="00BC627F" w:rsidRDefault="009029F3" w:rsidP="009029F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8768DB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8768DB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”，检查情况：符合，检查人：</w:t>
            </w:r>
            <w:r w:rsidR="008768DB" w:rsidRPr="008768DB">
              <w:rPr>
                <w:rFonts w:ascii="楷体" w:eastAsia="楷体" w:hAnsi="楷体" w:cs="楷体" w:hint="eastAsia"/>
                <w:sz w:val="24"/>
                <w:szCs w:val="24"/>
              </w:rPr>
              <w:t>任宇阳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C3CD3" w:rsidRPr="00600D13" w:rsidRDefault="007F5F9F" w:rsidP="00600D1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从提供的记录来看，公司产</w:t>
            </w:r>
            <w:r w:rsidR="008768DB">
              <w:rPr>
                <w:rFonts w:ascii="楷体" w:eastAsia="楷体" w:hAnsi="楷体" w:hint="eastAsia"/>
                <w:sz w:val="24"/>
                <w:szCs w:val="24"/>
              </w:rPr>
              <w:t>品和服务从进货控制、服务过程控制、服务实施和产品交付控制，基本有效</w:t>
            </w:r>
            <w:r w:rsidRPr="00600D1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8262C" w:rsidRPr="00600D13" w:rsidRDefault="007F5F9F" w:rsidP="00600D13">
            <w:pPr>
              <w:spacing w:line="360" w:lineRule="auto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600D13">
              <w:rPr>
                <w:rFonts w:ascii="楷体" w:eastAsia="楷体" w:hAnsi="楷体" w:hint="eastAsia"/>
                <w:sz w:val="24"/>
                <w:szCs w:val="24"/>
              </w:rPr>
              <w:t>产品和服务的放行控制措施基本有效，符合客户需求和公司经营的需求。</w:t>
            </w: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1968"/>
        </w:trPr>
        <w:tc>
          <w:tcPr>
            <w:tcW w:w="1809" w:type="dxa"/>
            <w:vAlign w:val="center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</w:p>
        </w:tc>
        <w:tc>
          <w:tcPr>
            <w:tcW w:w="1311" w:type="dxa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t>E6.1.2</w:t>
            </w:r>
          </w:p>
          <w:p w:rsidR="0028262C" w:rsidRPr="00600D13" w:rsidRDefault="0028262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8262C" w:rsidRPr="00600D13" w:rsidRDefault="007F5F9F" w:rsidP="00AB1D8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质检部按照</w:t>
            </w:r>
            <w:r w:rsidR="008768DB">
              <w:rPr>
                <w:rFonts w:ascii="楷体" w:eastAsia="楷体" w:hAnsi="楷体" w:cs="楷体" w:hint="eastAsia"/>
                <w:sz w:val="24"/>
                <w:szCs w:val="24"/>
              </w:rPr>
              <w:t>程序文件的要求对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</w:t>
            </w:r>
            <w:r w:rsidR="008768DB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环境因素进行了辨识</w:t>
            </w:r>
            <w:r w:rsidR="008768D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</w:t>
            </w:r>
            <w:r w:rsidR="00AB1D84" w:rsidRPr="00600D13">
              <w:rPr>
                <w:rFonts w:ascii="楷体" w:eastAsia="楷体" w:hAnsi="楷体" w:cs="楷体" w:hint="eastAsia"/>
                <w:sz w:val="24"/>
                <w:szCs w:val="24"/>
              </w:rPr>
              <w:t>汇总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评价表”，识别了质检部在办公、检验等各有关过程的环境因素，包括</w:t>
            </w:r>
            <w:r w:rsidR="00AB1D84" w:rsidRPr="00AB1D84">
              <w:rPr>
                <w:rFonts w:ascii="楷体" w:eastAsia="楷体" w:hAnsi="楷体" w:cs="楷体" w:hint="eastAsia"/>
                <w:sz w:val="24"/>
                <w:szCs w:val="24"/>
              </w:rPr>
              <w:t>水、电的消耗</w:t>
            </w:r>
            <w:r w:rsidR="00AB1D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B1D84" w:rsidRPr="00AB1D84">
              <w:rPr>
                <w:rFonts w:ascii="楷体" w:eastAsia="楷体" w:hAnsi="楷体" w:cs="楷体" w:hint="eastAsia"/>
                <w:sz w:val="24"/>
                <w:szCs w:val="24"/>
              </w:rPr>
              <w:t>纸张的使用</w:t>
            </w:r>
            <w:r w:rsidR="00AB1D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B1D84" w:rsidRPr="00AB1D84">
              <w:rPr>
                <w:rFonts w:ascii="楷体" w:eastAsia="楷体" w:hAnsi="楷体" w:cs="楷体" w:hint="eastAsia"/>
                <w:sz w:val="24"/>
                <w:szCs w:val="24"/>
              </w:rPr>
              <w:t>灯管、灯泡的废弃</w:t>
            </w:r>
            <w:r w:rsidR="00AB1D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B1D84" w:rsidRPr="00AB1D84">
              <w:rPr>
                <w:rFonts w:ascii="楷体" w:eastAsia="楷体" w:hAnsi="楷体" w:cs="楷体" w:hint="eastAsia"/>
                <w:sz w:val="24"/>
                <w:szCs w:val="24"/>
              </w:rPr>
              <w:t>火灾的发生</w:t>
            </w:r>
            <w:r w:rsidR="00AB1D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B1D84" w:rsidRPr="00AB1D84">
              <w:rPr>
                <w:rFonts w:ascii="楷体" w:eastAsia="楷体" w:hAnsi="楷体" w:cs="楷体" w:hint="eastAsia"/>
                <w:sz w:val="24"/>
                <w:szCs w:val="24"/>
              </w:rPr>
              <w:t>电池的废弃</w:t>
            </w:r>
            <w:r w:rsidR="00AB1D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B1D84" w:rsidRPr="00AB1D84">
              <w:rPr>
                <w:rFonts w:ascii="楷体" w:eastAsia="楷体" w:hAnsi="楷体" w:cs="楷体" w:hint="eastAsia"/>
                <w:sz w:val="24"/>
                <w:szCs w:val="24"/>
              </w:rPr>
              <w:t>空调机噪声的排放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="00AB1D84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28262C" w:rsidRPr="00600D13" w:rsidRDefault="007F5F9F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部门识别和评价基本充分，符合规定要求。</w:t>
            </w: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2110"/>
        </w:trPr>
        <w:tc>
          <w:tcPr>
            <w:tcW w:w="1809" w:type="dxa"/>
            <w:vAlign w:val="center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28262C" w:rsidRPr="00600D13" w:rsidRDefault="007F5F9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00D13">
              <w:rPr>
                <w:rFonts w:ascii="楷体" w:eastAsia="楷体" w:hAnsi="楷体" w:cs="Arial" w:hint="eastAsia"/>
                <w:sz w:val="24"/>
                <w:szCs w:val="24"/>
              </w:rPr>
              <w:t xml:space="preserve">E8.1 </w:t>
            </w:r>
          </w:p>
        </w:tc>
        <w:tc>
          <w:tcPr>
            <w:tcW w:w="10004" w:type="dxa"/>
            <w:vAlign w:val="center"/>
          </w:tcPr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部门按公司制定的</w:t>
            </w:r>
            <w:r w:rsidR="00B0298F" w:rsidRPr="0048093D">
              <w:rPr>
                <w:rFonts w:ascii="楷体" w:eastAsia="楷体" w:hAnsi="楷体" w:cs="宋体" w:hint="eastAsia"/>
                <w:sz w:val="24"/>
                <w:szCs w:val="24"/>
              </w:rPr>
              <w:t>《运行控制程序</w:t>
            </w:r>
            <w:r w:rsidR="00B0298F" w:rsidRPr="0048093D">
              <w:rPr>
                <w:rFonts w:ascii="楷体" w:eastAsia="楷体" w:hAnsi="楷体" w:cs="宋体" w:hint="eastAsia"/>
                <w:sz w:val="24"/>
                <w:szCs w:val="24"/>
              </w:rPr>
              <w:tab/>
              <w:t>BLL/CX14-A0-2020》、《销售过程控制程序</w:t>
            </w:r>
            <w:r w:rsidR="00B0298F" w:rsidRPr="0048093D">
              <w:rPr>
                <w:rFonts w:ascii="楷体" w:eastAsia="楷体" w:hAnsi="楷体" w:cs="宋体" w:hint="eastAsia"/>
                <w:sz w:val="24"/>
                <w:szCs w:val="24"/>
              </w:rPr>
              <w:tab/>
              <w:t>BLL/CX15-A0-2020》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等环境与安全管理制度实施。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301D1D" w:rsidRPr="00600D13">
              <w:rPr>
                <w:rFonts w:ascii="楷体" w:eastAsia="楷体" w:hAnsi="楷体" w:cs="楷体" w:hint="eastAsia"/>
                <w:sz w:val="24"/>
                <w:szCs w:val="24"/>
              </w:rPr>
              <w:t>绝缘树脂、N, N-二乙基羟胺</w:t>
            </w: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</w:t>
            </w:r>
            <w:bookmarkStart w:id="0" w:name="_GoBack"/>
            <w:bookmarkEnd w:id="0"/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节约使用包装物。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28262C" w:rsidRPr="00600D13" w:rsidRDefault="007F5F9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部门办公产生的废纸等废弃物集中卖给回收站；办公危废（硒鼓墨盒）回收交办公耗材公司折价回收。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28262C" w:rsidRPr="00600D13" w:rsidRDefault="007F5F9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00D13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262C" w:rsidRPr="00600D13">
        <w:trPr>
          <w:trHeight w:val="392"/>
        </w:trPr>
        <w:tc>
          <w:tcPr>
            <w:tcW w:w="1809" w:type="dxa"/>
          </w:tcPr>
          <w:p w:rsidR="0028262C" w:rsidRPr="00600D13" w:rsidRDefault="0028262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8262C" w:rsidRPr="00600D13" w:rsidRDefault="0028262C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8262C" w:rsidRPr="00600D13" w:rsidRDefault="0028262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28262C" w:rsidRPr="00600D13" w:rsidRDefault="0028262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8262C" w:rsidRPr="00600D13" w:rsidRDefault="007F5F9F">
      <w:pPr>
        <w:rPr>
          <w:rFonts w:ascii="楷体" w:eastAsia="楷体" w:hAnsi="楷体"/>
        </w:rPr>
      </w:pPr>
      <w:r w:rsidRPr="00600D13">
        <w:rPr>
          <w:rFonts w:ascii="楷体" w:eastAsia="楷体" w:hAnsi="楷体"/>
        </w:rPr>
        <w:ptab w:relativeTo="margin" w:alignment="center" w:leader="none"/>
      </w:r>
    </w:p>
    <w:p w:rsidR="0028262C" w:rsidRPr="00600D13" w:rsidRDefault="0028262C">
      <w:pPr>
        <w:rPr>
          <w:rFonts w:ascii="楷体" w:eastAsia="楷体" w:hAnsi="楷体"/>
        </w:rPr>
      </w:pPr>
    </w:p>
    <w:p w:rsidR="0028262C" w:rsidRPr="00600D13" w:rsidRDefault="007F5F9F">
      <w:pPr>
        <w:pStyle w:val="a5"/>
        <w:rPr>
          <w:rFonts w:ascii="楷体" w:eastAsia="楷体" w:hAnsi="楷体"/>
        </w:rPr>
      </w:pPr>
      <w:r w:rsidRPr="00600D13">
        <w:rPr>
          <w:rFonts w:ascii="楷体" w:eastAsia="楷体" w:hAnsi="楷体" w:hint="eastAsia"/>
        </w:rPr>
        <w:t>说明：不符合标注N</w:t>
      </w:r>
    </w:p>
    <w:sectPr w:rsidR="0028262C" w:rsidRPr="00600D1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8D" w:rsidRDefault="00A4688D">
      <w:r>
        <w:separator/>
      </w:r>
    </w:p>
  </w:endnote>
  <w:endnote w:type="continuationSeparator" w:id="0">
    <w:p w:rsidR="00A4688D" w:rsidRDefault="00A4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8262C" w:rsidRDefault="007F5F9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298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298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262C" w:rsidRDefault="002826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8D" w:rsidRDefault="00A4688D">
      <w:r>
        <w:separator/>
      </w:r>
    </w:p>
  </w:footnote>
  <w:footnote w:type="continuationSeparator" w:id="0">
    <w:p w:rsidR="00A4688D" w:rsidRDefault="00A4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2C" w:rsidRDefault="007F5F9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262C" w:rsidRDefault="007F5F9F">
    <w:pPr>
      <w:pStyle w:val="a6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77B7A" w:rsidRDefault="00777B7A" w:rsidP="00777B7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28262C" w:rsidRDefault="0028262C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777B7A" w:rsidRDefault="00777B7A" w:rsidP="00777B7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28262C" w:rsidRDefault="0028262C"/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28262C" w:rsidRDefault="002826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1F693"/>
    <w:multiLevelType w:val="singleLevel"/>
    <w:tmpl w:val="CB41F693"/>
    <w:lvl w:ilvl="0">
      <w:start w:val="4"/>
      <w:numFmt w:val="decimal"/>
      <w:suff w:val="nothing"/>
      <w:lvlText w:val="（%1）"/>
      <w:lvlJc w:val="left"/>
    </w:lvl>
  </w:abstractNum>
  <w:abstractNum w:abstractNumId="1">
    <w:nsid w:val="491729CA"/>
    <w:multiLevelType w:val="singleLevel"/>
    <w:tmpl w:val="491729CA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>
    <w:nsid w:val="6154FBE9"/>
    <w:multiLevelType w:val="singleLevel"/>
    <w:tmpl w:val="6154FBE9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C35"/>
    <w:rsid w:val="000045EC"/>
    <w:rsid w:val="00004817"/>
    <w:rsid w:val="00007DCF"/>
    <w:rsid w:val="000214B6"/>
    <w:rsid w:val="0002531E"/>
    <w:rsid w:val="0003373A"/>
    <w:rsid w:val="00034008"/>
    <w:rsid w:val="000412F6"/>
    <w:rsid w:val="00043427"/>
    <w:rsid w:val="000456DC"/>
    <w:rsid w:val="00051662"/>
    <w:rsid w:val="0005199E"/>
    <w:rsid w:val="000567DE"/>
    <w:rsid w:val="0005697E"/>
    <w:rsid w:val="000579CF"/>
    <w:rsid w:val="00065669"/>
    <w:rsid w:val="000674F0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A5E44"/>
    <w:rsid w:val="000B1394"/>
    <w:rsid w:val="000B21E5"/>
    <w:rsid w:val="000B40BD"/>
    <w:rsid w:val="000B7BF7"/>
    <w:rsid w:val="000C123B"/>
    <w:rsid w:val="000C291E"/>
    <w:rsid w:val="000D13BE"/>
    <w:rsid w:val="000D5401"/>
    <w:rsid w:val="000D697A"/>
    <w:rsid w:val="000E2B69"/>
    <w:rsid w:val="000E6A5C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764EF"/>
    <w:rsid w:val="0018223E"/>
    <w:rsid w:val="00183CEA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D4AD8"/>
    <w:rsid w:val="001D54FF"/>
    <w:rsid w:val="001E1974"/>
    <w:rsid w:val="001F1925"/>
    <w:rsid w:val="00202BC2"/>
    <w:rsid w:val="00204D13"/>
    <w:rsid w:val="00205626"/>
    <w:rsid w:val="00214113"/>
    <w:rsid w:val="00215081"/>
    <w:rsid w:val="0022146A"/>
    <w:rsid w:val="00222532"/>
    <w:rsid w:val="002247A0"/>
    <w:rsid w:val="0022574B"/>
    <w:rsid w:val="00227BFB"/>
    <w:rsid w:val="002367B4"/>
    <w:rsid w:val="00237445"/>
    <w:rsid w:val="00245F44"/>
    <w:rsid w:val="00247827"/>
    <w:rsid w:val="00262470"/>
    <w:rsid w:val="002650FD"/>
    <w:rsid w:val="002651A6"/>
    <w:rsid w:val="002766C0"/>
    <w:rsid w:val="0028262C"/>
    <w:rsid w:val="00284205"/>
    <w:rsid w:val="00295DF5"/>
    <w:rsid w:val="00296932"/>
    <w:rsid w:val="002973F0"/>
    <w:rsid w:val="002975C1"/>
    <w:rsid w:val="002A0E6E"/>
    <w:rsid w:val="002A33CC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1D1D"/>
    <w:rsid w:val="00312A7E"/>
    <w:rsid w:val="00317401"/>
    <w:rsid w:val="00325AAF"/>
    <w:rsid w:val="00326B5B"/>
    <w:rsid w:val="00326FC1"/>
    <w:rsid w:val="0032706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4FBF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D3D58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078C"/>
    <w:rsid w:val="00430A73"/>
    <w:rsid w:val="00433759"/>
    <w:rsid w:val="0043494E"/>
    <w:rsid w:val="004414A5"/>
    <w:rsid w:val="004446C9"/>
    <w:rsid w:val="004557CF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F185D"/>
    <w:rsid w:val="004F63C6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1707"/>
    <w:rsid w:val="00583277"/>
    <w:rsid w:val="00592C3E"/>
    <w:rsid w:val="00594122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C3CD3"/>
    <w:rsid w:val="005E1045"/>
    <w:rsid w:val="005E3444"/>
    <w:rsid w:val="005E4192"/>
    <w:rsid w:val="005F6C65"/>
    <w:rsid w:val="00600D13"/>
    <w:rsid w:val="00600F02"/>
    <w:rsid w:val="0060444D"/>
    <w:rsid w:val="00613121"/>
    <w:rsid w:val="006355F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5256"/>
    <w:rsid w:val="00695570"/>
    <w:rsid w:val="00696AF1"/>
    <w:rsid w:val="006A1186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0B19"/>
    <w:rsid w:val="0070367F"/>
    <w:rsid w:val="00706325"/>
    <w:rsid w:val="00712BC7"/>
    <w:rsid w:val="00712F3C"/>
    <w:rsid w:val="00715709"/>
    <w:rsid w:val="00716892"/>
    <w:rsid w:val="007170AA"/>
    <w:rsid w:val="00724435"/>
    <w:rsid w:val="00732B66"/>
    <w:rsid w:val="007371B4"/>
    <w:rsid w:val="00737C8F"/>
    <w:rsid w:val="007406DE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77B7A"/>
    <w:rsid w:val="007815DC"/>
    <w:rsid w:val="00782275"/>
    <w:rsid w:val="00791B90"/>
    <w:rsid w:val="0079298D"/>
    <w:rsid w:val="007A096E"/>
    <w:rsid w:val="007A47FB"/>
    <w:rsid w:val="007B106B"/>
    <w:rsid w:val="007B275D"/>
    <w:rsid w:val="007C1A9D"/>
    <w:rsid w:val="007C1B9B"/>
    <w:rsid w:val="007E02E1"/>
    <w:rsid w:val="007E6AEB"/>
    <w:rsid w:val="007F01EC"/>
    <w:rsid w:val="007F5F9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768DB"/>
    <w:rsid w:val="00891C25"/>
    <w:rsid w:val="008973EE"/>
    <w:rsid w:val="008A2528"/>
    <w:rsid w:val="008B3CE4"/>
    <w:rsid w:val="008B4414"/>
    <w:rsid w:val="008B49A3"/>
    <w:rsid w:val="008C7BEB"/>
    <w:rsid w:val="008D089D"/>
    <w:rsid w:val="008D5718"/>
    <w:rsid w:val="008F0A68"/>
    <w:rsid w:val="008F0B04"/>
    <w:rsid w:val="008F7C55"/>
    <w:rsid w:val="009018EA"/>
    <w:rsid w:val="009029F3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07B9"/>
    <w:rsid w:val="009973B4"/>
    <w:rsid w:val="009A31AD"/>
    <w:rsid w:val="009B2C22"/>
    <w:rsid w:val="009B3B60"/>
    <w:rsid w:val="009B7741"/>
    <w:rsid w:val="009B7EB8"/>
    <w:rsid w:val="009E30DA"/>
    <w:rsid w:val="009E6193"/>
    <w:rsid w:val="009E744E"/>
    <w:rsid w:val="009E7DD1"/>
    <w:rsid w:val="009F7EED"/>
    <w:rsid w:val="00A00745"/>
    <w:rsid w:val="00A11F3A"/>
    <w:rsid w:val="00A12EE2"/>
    <w:rsid w:val="00A138EC"/>
    <w:rsid w:val="00A150D7"/>
    <w:rsid w:val="00A42CB8"/>
    <w:rsid w:val="00A433DF"/>
    <w:rsid w:val="00A4688D"/>
    <w:rsid w:val="00A55DA1"/>
    <w:rsid w:val="00A67DB6"/>
    <w:rsid w:val="00A801DE"/>
    <w:rsid w:val="00A86DE5"/>
    <w:rsid w:val="00A90A22"/>
    <w:rsid w:val="00A90E74"/>
    <w:rsid w:val="00A953E7"/>
    <w:rsid w:val="00A97734"/>
    <w:rsid w:val="00AA7F40"/>
    <w:rsid w:val="00AB1D84"/>
    <w:rsid w:val="00AB41FC"/>
    <w:rsid w:val="00AB7D2F"/>
    <w:rsid w:val="00AC14DE"/>
    <w:rsid w:val="00AC3BF7"/>
    <w:rsid w:val="00AD6F34"/>
    <w:rsid w:val="00AF0AAB"/>
    <w:rsid w:val="00AF156F"/>
    <w:rsid w:val="00AF616B"/>
    <w:rsid w:val="00B0298F"/>
    <w:rsid w:val="00B0685B"/>
    <w:rsid w:val="00B139B9"/>
    <w:rsid w:val="00B1545C"/>
    <w:rsid w:val="00B16FBF"/>
    <w:rsid w:val="00B22D22"/>
    <w:rsid w:val="00B23030"/>
    <w:rsid w:val="00B237B9"/>
    <w:rsid w:val="00B23CAA"/>
    <w:rsid w:val="00B410EE"/>
    <w:rsid w:val="00B6271A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4A7D"/>
    <w:rsid w:val="00BB6AB7"/>
    <w:rsid w:val="00BC012A"/>
    <w:rsid w:val="00BC2015"/>
    <w:rsid w:val="00BC71B0"/>
    <w:rsid w:val="00BD3588"/>
    <w:rsid w:val="00BE04BE"/>
    <w:rsid w:val="00BF597E"/>
    <w:rsid w:val="00BF6286"/>
    <w:rsid w:val="00C03098"/>
    <w:rsid w:val="00C062BF"/>
    <w:rsid w:val="00C07DFB"/>
    <w:rsid w:val="00C14685"/>
    <w:rsid w:val="00C31C73"/>
    <w:rsid w:val="00C4334E"/>
    <w:rsid w:val="00C51A36"/>
    <w:rsid w:val="00C548BE"/>
    <w:rsid w:val="00C55228"/>
    <w:rsid w:val="00C65CBD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220C6"/>
    <w:rsid w:val="00D3392D"/>
    <w:rsid w:val="00D3558F"/>
    <w:rsid w:val="00D428C0"/>
    <w:rsid w:val="00D429D7"/>
    <w:rsid w:val="00D42F03"/>
    <w:rsid w:val="00D55E69"/>
    <w:rsid w:val="00D562F6"/>
    <w:rsid w:val="00D57045"/>
    <w:rsid w:val="00D67A0F"/>
    <w:rsid w:val="00D82714"/>
    <w:rsid w:val="00D8388C"/>
    <w:rsid w:val="00D92333"/>
    <w:rsid w:val="00D934A7"/>
    <w:rsid w:val="00D95B20"/>
    <w:rsid w:val="00DA0DF0"/>
    <w:rsid w:val="00DB0A8E"/>
    <w:rsid w:val="00DC0E1F"/>
    <w:rsid w:val="00DD1C8E"/>
    <w:rsid w:val="00DE146D"/>
    <w:rsid w:val="00DE2D80"/>
    <w:rsid w:val="00DE5F76"/>
    <w:rsid w:val="00DE6FCE"/>
    <w:rsid w:val="00DF76DB"/>
    <w:rsid w:val="00E038E4"/>
    <w:rsid w:val="00E04C3F"/>
    <w:rsid w:val="00E12A1B"/>
    <w:rsid w:val="00E13D9A"/>
    <w:rsid w:val="00E25BF1"/>
    <w:rsid w:val="00E27952"/>
    <w:rsid w:val="00E30328"/>
    <w:rsid w:val="00E3068F"/>
    <w:rsid w:val="00E32D13"/>
    <w:rsid w:val="00E35F90"/>
    <w:rsid w:val="00E43822"/>
    <w:rsid w:val="00E4583F"/>
    <w:rsid w:val="00E47E98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4849"/>
    <w:rsid w:val="00E910C0"/>
    <w:rsid w:val="00E93C22"/>
    <w:rsid w:val="00E9605F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36E7"/>
    <w:rsid w:val="00F03870"/>
    <w:rsid w:val="00F05872"/>
    <w:rsid w:val="00F06D09"/>
    <w:rsid w:val="00F11201"/>
    <w:rsid w:val="00F1322D"/>
    <w:rsid w:val="00F14D99"/>
    <w:rsid w:val="00F30E2E"/>
    <w:rsid w:val="00F32CB9"/>
    <w:rsid w:val="00F33729"/>
    <w:rsid w:val="00F35A59"/>
    <w:rsid w:val="00F35CD7"/>
    <w:rsid w:val="00F3666E"/>
    <w:rsid w:val="00F46F73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A7B6B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2241AA1"/>
    <w:rsid w:val="25FE0DCB"/>
    <w:rsid w:val="26D8581C"/>
    <w:rsid w:val="3BBE557C"/>
    <w:rsid w:val="5EA12B9A"/>
    <w:rsid w:val="66CD2A4D"/>
    <w:rsid w:val="7BC328D3"/>
    <w:rsid w:val="7C78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533</cp:revision>
  <dcterms:created xsi:type="dcterms:W3CDTF">2015-06-17T12:51:00Z</dcterms:created>
  <dcterms:modified xsi:type="dcterms:W3CDTF">2021-11-21T10:00:00Z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