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210"/>
        <w:gridCol w:w="206"/>
        <w:gridCol w:w="86"/>
        <w:gridCol w:w="1004"/>
        <w:gridCol w:w="934"/>
        <w:gridCol w:w="762"/>
        <w:gridCol w:w="152"/>
        <w:gridCol w:w="104"/>
        <w:gridCol w:w="157"/>
        <w:gridCol w:w="473"/>
        <w:gridCol w:w="49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重庆弘亚床上用品有限公司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重庆市九龙坡区含谷镇建新村六社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重庆市北碚区歇马镇永远村西溪桥头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李宁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15178823041</w:t>
            </w:r>
            <w:bookmarkEnd w:id="5"/>
          </w:p>
        </w:tc>
        <w:tc>
          <w:tcPr>
            <w:tcW w:w="63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7" w:name="最高管理者"/>
            <w:bookmarkEnd w:id="7"/>
            <w:r>
              <w:rPr>
                <w:rFonts w:hint="eastAsia" w:ascii="Arial" w:hAnsi="Arial" w:cs="Arial"/>
                <w:color w:val="333333"/>
                <w:sz w:val="21"/>
                <w:szCs w:val="21"/>
                <w:lang w:eastAsia="zh-CN"/>
              </w:rPr>
              <w:t>屈学斌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8" w:name="管代电话"/>
            <w:bookmarkEnd w:id="8"/>
          </w:p>
        </w:tc>
        <w:tc>
          <w:tcPr>
            <w:tcW w:w="63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1016-2021-E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52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床上用品的销售所涉及场所的相关环境管理活动</w:t>
            </w:r>
            <w:bookmarkEnd w:id="22"/>
          </w:p>
        </w:tc>
        <w:tc>
          <w:tcPr>
            <w:tcW w:w="7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29.08.01;29.08.09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2021年09月30日 上午至2021年09月30日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29.08.01,29.08.09</w:t>
            </w:r>
          </w:p>
        </w:tc>
        <w:tc>
          <w:tcPr>
            <w:tcW w:w="138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9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2018-N1EMS-1230067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29.08.01,29.08.09</w:t>
            </w:r>
          </w:p>
        </w:tc>
        <w:tc>
          <w:tcPr>
            <w:tcW w:w="138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29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1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9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1" w:type="dxa"/>
            <w:gridSpan w:val="5"/>
            <w:vAlign w:val="center"/>
          </w:tcPr>
          <w:p/>
        </w:tc>
        <w:tc>
          <w:tcPr>
            <w:tcW w:w="129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230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75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6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3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2021年09月</w:t>
            </w:r>
            <w:r>
              <w:rPr>
                <w:rFonts w:hint="eastAsia"/>
                <w:sz w:val="20"/>
                <w:lang w:val="en-US" w:eastAsia="zh-CN"/>
              </w:rPr>
              <w:t>27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30" w:type="dxa"/>
            <w:gridSpan w:val="4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2021年09月</w:t>
            </w:r>
            <w:r>
              <w:rPr>
                <w:rFonts w:hint="eastAsia"/>
                <w:sz w:val="20"/>
                <w:lang w:val="en-US" w:eastAsia="zh-CN"/>
              </w:rPr>
              <w:t>27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75" w:type="dxa"/>
            <w:gridSpan w:val="4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2021年09月</w:t>
            </w:r>
            <w:r>
              <w:rPr>
                <w:rFonts w:hint="eastAsia"/>
                <w:sz w:val="20"/>
                <w:lang w:val="en-US" w:eastAsia="zh-CN"/>
              </w:rPr>
              <w:t>27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33" w:tblpY="390"/>
        <w:tblOverlap w:val="never"/>
        <w:tblW w:w="1029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1366"/>
        <w:gridCol w:w="7411"/>
        <w:gridCol w:w="102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7" w:hRule="atLeast"/>
        </w:trPr>
        <w:tc>
          <w:tcPr>
            <w:tcW w:w="18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843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bookmarkStart w:id="33" w:name="_GoBack"/>
            <w:bookmarkEnd w:id="33"/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0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 xml:space="preserve">管理层: 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4.1组织及其环境;4.2相关方需求与期望;4.3确定体系范围;4.4体系;5.1领导作用与承诺;5.2方针;5.3组织的角色、职责和权限；6.1</w:t>
            </w:r>
            <w:r>
              <w:rPr>
                <w:rFonts w:hint="eastAsia" w:ascii="宋体" w:hAnsi="宋体" w:cs="宋体"/>
                <w:sz w:val="21"/>
                <w:szCs w:val="21"/>
              </w:rPr>
              <w:t>应对风险和机遇的措施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；6.1.4措施的策划；6.2目标及其实现的策划；7.1资源；7.4沟通；9.1.1监测、分析和评估总则；9.3管理评审；10.1改进 总则；10.3持续改进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范围的确认、资质的确认、法律法规执行情况、环保抽查及相关投诉情况、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7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行政部（含财务）: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5.3组织的角色、职责和权限；6.1.2环境因素；6.1.3合规义务；6.2目标及其达成的策划；7.2能力；7.3意识；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7.4沟通；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7.5文件化信息；8.1运行策划和控制；8.2应急准备和响应；9.1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监视、测量、分析与评估；9.1.2符合性评估；9.2内部审核；10.2不符合和纠正措施；10.3持续改进/EMS运行控制相关财务支出证据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9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采购部: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5.3组织的角色、职责和权限；6.1.2环境因素；6.2目标及其达成的策划；7.4沟通；8.1运行策划和控制；8.2应急准备和响应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销售部: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49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872806"/>
    <w:rsid w:val="2A2E7F49"/>
    <w:rsid w:val="36834625"/>
    <w:rsid w:val="36C27127"/>
    <w:rsid w:val="5FEF58CE"/>
    <w:rsid w:val="6DBC7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2021-09-28T12:01:22Z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