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1016-2021-E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重庆弘亚床上用品有限公司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2021年09月29日 上午至2021年09月29日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r>
              <w:rPr>
                <w:b/>
                <w:color w:val="000000"/>
                <w:szCs w:val="21"/>
              </w:rPr>
              <w:t>29.08.01,29.08.09</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重庆弘亚床上用品有限公司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重庆市九龙坡区含谷镇建新村六社</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重庆市北碚区歇马镇永远村西溪桥头</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李宁</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15178823041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屈学斌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屈爽</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床上用品的销售所涉及场所的相关环境管理活动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hint="default"/>
                <w:color w:val="auto"/>
                <w:highlight w:val="none"/>
                <w:lang w:val="en-US" w:eastAsia="zh-CN"/>
              </w:rPr>
            </w:pPr>
            <w:r>
              <w:rPr>
                <w:rFonts w:hint="eastAsia"/>
                <w:color w:val="auto"/>
                <w:highlight w:val="none"/>
                <w:lang w:val="en-US" w:eastAsia="zh-CN"/>
              </w:rPr>
              <w:t>销售服务流程:</w:t>
            </w:r>
          </w:p>
          <w:p>
            <w:pPr>
              <w:tabs>
                <w:tab w:val="left" w:pos="360"/>
              </w:tabs>
              <w:ind w:left="360" w:hanging="360"/>
              <w:rPr>
                <w:rFonts w:ascii="宋体"/>
                <w:color w:val="000000"/>
                <w:szCs w:val="21"/>
              </w:rPr>
            </w:pPr>
            <w:r>
              <w:rPr>
                <w:rFonts w:hint="eastAsia"/>
                <w:color w:val="auto"/>
                <w:highlight w:val="none"/>
                <w:lang w:val="en-US" w:eastAsia="zh-CN"/>
              </w:rPr>
              <w:t>业务洽谈----</w:t>
            </w:r>
            <w:r>
              <w:rPr>
                <w:rFonts w:hint="eastAsia"/>
                <w:color w:val="auto"/>
                <w:highlight w:val="none"/>
              </w:rPr>
              <w:t>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床上用品的销售所涉及场所的相关环境管理活动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29.08.01;29.08.09</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940"/>
        <w:gridCol w:w="1783"/>
        <w:gridCol w:w="734"/>
        <w:gridCol w:w="2809"/>
        <w:gridCol w:w="98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4"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4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8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3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9"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8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4" w:type="dxa"/>
            <w:vAlign w:val="center"/>
          </w:tcPr>
          <w:p>
            <w:pPr>
              <w:spacing w:before="40" w:after="40"/>
              <w:rPr>
                <w:rFonts w:eastAsia="黑体"/>
                <w:szCs w:val="21"/>
                <w:lang w:eastAsia="ja-JP"/>
              </w:rPr>
            </w:pPr>
            <w:r>
              <w:rPr>
                <w:rFonts w:eastAsia="黑体"/>
                <w:szCs w:val="21"/>
                <w:lang w:eastAsia="ja-JP"/>
              </w:rPr>
              <w:t>01</w:t>
            </w:r>
          </w:p>
        </w:tc>
        <w:tc>
          <w:tcPr>
            <w:tcW w:w="1940" w:type="dxa"/>
          </w:tcPr>
          <w:p>
            <w:pPr>
              <w:spacing w:before="40" w:after="40"/>
              <w:rPr>
                <w:rFonts w:hint="eastAsia" w:eastAsia="宋体"/>
                <w:szCs w:val="21"/>
                <w:lang w:val="en-US" w:eastAsia="zh-CN"/>
              </w:rPr>
            </w:pPr>
            <w:r>
              <w:rPr>
                <w:sz w:val="21"/>
                <w:szCs w:val="21"/>
              </w:rPr>
              <w:t>重庆弘亚床上用品有限公司</w:t>
            </w:r>
            <w:r>
              <w:rPr>
                <w:rFonts w:hint="eastAsia"/>
                <w:sz w:val="21"/>
                <w:szCs w:val="21"/>
                <w:lang w:val="en-US" w:eastAsia="zh-CN"/>
              </w:rPr>
              <w:t>/</w:t>
            </w:r>
            <w:r>
              <w:rPr>
                <w:sz w:val="21"/>
                <w:szCs w:val="21"/>
              </w:rPr>
              <w:t>重庆市九龙坡区含谷镇建新村六社</w:t>
            </w:r>
          </w:p>
        </w:tc>
        <w:tc>
          <w:tcPr>
            <w:tcW w:w="1783" w:type="dxa"/>
          </w:tcPr>
          <w:p>
            <w:pPr>
              <w:spacing w:before="40" w:after="40"/>
              <w:rPr>
                <w:rFonts w:eastAsia="黑体"/>
                <w:szCs w:val="21"/>
                <w:lang w:val="de-DE" w:eastAsia="ja-JP"/>
              </w:rPr>
            </w:pPr>
            <w:r>
              <w:rPr>
                <w:sz w:val="21"/>
                <w:szCs w:val="21"/>
              </w:rPr>
              <w:t>重庆市北碚区歇马镇永远村西溪桥头</w:t>
            </w:r>
          </w:p>
        </w:tc>
        <w:tc>
          <w:tcPr>
            <w:tcW w:w="734" w:type="dxa"/>
            <w:vAlign w:val="center"/>
          </w:tcPr>
          <w:p>
            <w:pPr>
              <w:spacing w:before="40" w:after="40"/>
              <w:rPr>
                <w:rFonts w:hint="default" w:ascii="Times New Roman" w:hAnsi="Times New Roman" w:eastAsia="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US" w:eastAsia="zh-CN" w:bidi="ar-SA"/>
              </w:rPr>
              <w:t>22</w:t>
            </w:r>
          </w:p>
        </w:tc>
        <w:tc>
          <w:tcPr>
            <w:tcW w:w="2809" w:type="dxa"/>
            <w:vAlign w:val="center"/>
          </w:tcPr>
          <w:p>
            <w:pPr>
              <w:pStyle w:val="20"/>
              <w:rPr>
                <w:rFonts w:ascii="Times New Roman" w:hAnsi="Times New Roman" w:eastAsia="Times New Roman" w:cs="Times New Roman"/>
                <w:kern w:val="2"/>
                <w:sz w:val="20"/>
                <w:szCs w:val="20"/>
                <w:lang w:val="en-US" w:eastAsia="ja-JP" w:bidi="ar-SA"/>
              </w:rPr>
            </w:pPr>
            <w:r>
              <w:rPr>
                <w:rFonts w:ascii="Times New Roman" w:hAnsi="Times New Roman" w:eastAsia="Times New Roman" w:cs="Times New Roman"/>
                <w:kern w:val="2"/>
                <w:sz w:val="20"/>
                <w:szCs w:val="20"/>
                <w:lang w:val="en-GB" w:eastAsia="de-DE" w:bidi="ar-SA"/>
              </w:rPr>
              <w:t>床上用品的销售所涉及场所的相关环境管理活动</w:t>
            </w:r>
          </w:p>
        </w:tc>
        <w:tc>
          <w:tcPr>
            <w:tcW w:w="984" w:type="dxa"/>
            <w:vAlign w:val="center"/>
          </w:tcPr>
          <w:p>
            <w:pPr>
              <w:spacing w:before="40" w:after="40"/>
              <w:rPr>
                <w:rFonts w:ascii="Times New Roman" w:hAnsi="Times New Roman" w:eastAsia="Times New Roman" w:cs="Times New Roman"/>
                <w:kern w:val="2"/>
                <w:sz w:val="20"/>
                <w:szCs w:val="20"/>
                <w:lang w:val="en-GB" w:eastAsia="ja-JP" w:bidi="ar-SA"/>
              </w:rPr>
            </w:pPr>
            <w:r>
              <w:rPr>
                <w:rFonts w:hint="eastAsia" w:ascii="Times New Roman" w:hAnsi="Times New Roman" w:eastAsia="Times New Roman" w:cs="Times New Roman"/>
                <w:kern w:val="2"/>
                <w:sz w:val="20"/>
                <w:szCs w:val="20"/>
                <w:lang w:val="en-GB" w:eastAsia="de-DE" w:bidi="ar-SA"/>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4" w:type="dxa"/>
            <w:vAlign w:val="center"/>
          </w:tcPr>
          <w:p>
            <w:pPr>
              <w:spacing w:before="40" w:after="40"/>
              <w:rPr>
                <w:rFonts w:eastAsia="黑体"/>
                <w:szCs w:val="21"/>
                <w:lang w:eastAsia="ja-JP"/>
              </w:rPr>
            </w:pPr>
            <w:r>
              <w:rPr>
                <w:rFonts w:eastAsia="黑体"/>
                <w:szCs w:val="21"/>
                <w:lang w:eastAsia="ja-JP"/>
              </w:rPr>
              <w:t>02</w:t>
            </w:r>
          </w:p>
        </w:tc>
        <w:tc>
          <w:tcPr>
            <w:tcW w:w="1940" w:type="dxa"/>
            <w:vAlign w:val="center"/>
          </w:tcPr>
          <w:p>
            <w:pPr>
              <w:spacing w:before="40" w:after="40"/>
              <w:rPr>
                <w:rFonts w:eastAsia="黑体"/>
                <w:szCs w:val="21"/>
                <w:lang w:eastAsia="ja-JP"/>
              </w:rPr>
            </w:pPr>
          </w:p>
        </w:tc>
        <w:tc>
          <w:tcPr>
            <w:tcW w:w="1783" w:type="dxa"/>
            <w:vAlign w:val="center"/>
          </w:tcPr>
          <w:p>
            <w:pPr>
              <w:spacing w:before="40" w:after="40"/>
              <w:rPr>
                <w:rFonts w:eastAsia="黑体"/>
                <w:szCs w:val="21"/>
                <w:lang w:eastAsia="ja-JP"/>
              </w:rPr>
            </w:pPr>
          </w:p>
        </w:tc>
        <w:tc>
          <w:tcPr>
            <w:tcW w:w="734" w:type="dxa"/>
            <w:vAlign w:val="center"/>
          </w:tcPr>
          <w:p>
            <w:pPr>
              <w:spacing w:before="40" w:after="40"/>
              <w:rPr>
                <w:rFonts w:eastAsia="黑体"/>
                <w:szCs w:val="21"/>
                <w:lang w:eastAsia="ja-JP"/>
              </w:rPr>
            </w:pPr>
          </w:p>
        </w:tc>
        <w:tc>
          <w:tcPr>
            <w:tcW w:w="2809" w:type="dxa"/>
            <w:vAlign w:val="center"/>
          </w:tcPr>
          <w:p>
            <w:pPr>
              <w:spacing w:before="40" w:after="40"/>
              <w:rPr>
                <w:rFonts w:eastAsia="黑体"/>
                <w:szCs w:val="21"/>
                <w:lang w:eastAsia="ja-JP"/>
              </w:rPr>
            </w:pPr>
          </w:p>
        </w:tc>
        <w:tc>
          <w:tcPr>
            <w:tcW w:w="98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4" w:type="dxa"/>
            <w:vAlign w:val="center"/>
          </w:tcPr>
          <w:p>
            <w:pPr>
              <w:spacing w:before="40" w:after="40"/>
              <w:rPr>
                <w:rFonts w:eastAsia="黑体"/>
                <w:szCs w:val="21"/>
                <w:lang w:eastAsia="ja-JP"/>
              </w:rPr>
            </w:pPr>
            <w:r>
              <w:rPr>
                <w:rFonts w:eastAsia="黑体"/>
                <w:szCs w:val="21"/>
                <w:lang w:eastAsia="ja-JP"/>
              </w:rPr>
              <w:t>03</w:t>
            </w:r>
          </w:p>
        </w:tc>
        <w:tc>
          <w:tcPr>
            <w:tcW w:w="1940" w:type="dxa"/>
            <w:vAlign w:val="center"/>
          </w:tcPr>
          <w:p>
            <w:pPr>
              <w:spacing w:before="40" w:after="40"/>
              <w:rPr>
                <w:rFonts w:eastAsia="黑体"/>
                <w:szCs w:val="21"/>
                <w:lang w:eastAsia="ja-JP"/>
              </w:rPr>
            </w:pPr>
          </w:p>
        </w:tc>
        <w:tc>
          <w:tcPr>
            <w:tcW w:w="1783" w:type="dxa"/>
            <w:vAlign w:val="center"/>
          </w:tcPr>
          <w:p>
            <w:pPr>
              <w:spacing w:before="40" w:after="40"/>
              <w:rPr>
                <w:rFonts w:eastAsia="黑体"/>
                <w:szCs w:val="21"/>
                <w:lang w:eastAsia="ja-JP"/>
              </w:rPr>
            </w:pPr>
          </w:p>
        </w:tc>
        <w:tc>
          <w:tcPr>
            <w:tcW w:w="734" w:type="dxa"/>
            <w:vAlign w:val="center"/>
          </w:tcPr>
          <w:p>
            <w:pPr>
              <w:spacing w:before="40" w:after="40"/>
              <w:rPr>
                <w:rFonts w:eastAsia="黑体"/>
                <w:szCs w:val="21"/>
                <w:lang w:eastAsia="ja-JP"/>
              </w:rPr>
            </w:pPr>
          </w:p>
        </w:tc>
        <w:tc>
          <w:tcPr>
            <w:tcW w:w="2809" w:type="dxa"/>
            <w:vAlign w:val="center"/>
          </w:tcPr>
          <w:p>
            <w:pPr>
              <w:spacing w:before="40" w:after="40"/>
              <w:rPr>
                <w:rFonts w:eastAsia="黑体"/>
                <w:szCs w:val="21"/>
                <w:lang w:eastAsia="ja-JP"/>
              </w:rPr>
            </w:pPr>
          </w:p>
        </w:tc>
        <w:tc>
          <w:tcPr>
            <w:tcW w:w="98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lang w:eastAsia="zh-CN"/>
              </w:rPr>
              <w:t>2021年3月5</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rPr>
              <w:t xml:space="preserve"> </w:t>
            </w:r>
            <w:r>
              <w:rPr>
                <w:rFonts w:hint="eastAsia" w:ascii="宋体" w:hAnsi="宋体"/>
                <w:b/>
                <w:color w:val="000000"/>
                <w:szCs w:val="21"/>
                <w:highlight w:val="none"/>
                <w:u w:val="single"/>
                <w:lang w:eastAsia="zh-CN"/>
              </w:rPr>
              <w:t>2021年7月 20日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 xml:space="preserve">  2021年8月25日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是否按法规办理了环境影响评价登记表/报告表/报告书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是否按法规办理了环境影响评价报告表/报告书的验收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是否按法规办理了《排污许可证》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 xml:space="preserve">是否提供近期环境监测报告                  </w:t>
            </w:r>
          </w:p>
        </w:tc>
        <w:tc>
          <w:tcPr>
            <w:tcW w:w="2443" w:type="dxa"/>
            <w:gridSpan w:val="2"/>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vAlign w:val="top"/>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2021-09-29</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56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569" w:type="dxa"/>
            <w:vAlign w:val="center"/>
          </w:tcPr>
          <w:p>
            <w:pPr>
              <w:spacing w:line="400" w:lineRule="exact"/>
              <w:rPr>
                <w:rFonts w:ascii="宋体" w:hAnsi="宋体"/>
                <w:b/>
                <w:color w:val="000000"/>
                <w:szCs w:val="21"/>
              </w:rPr>
            </w:pPr>
            <w:r>
              <w:t>床上用品的销售所涉及场所的相关环境管理活动</w:t>
            </w:r>
          </w:p>
        </w:tc>
        <w:tc>
          <w:tcPr>
            <w:tcW w:w="1813" w:type="dxa"/>
            <w:vAlign w:val="center"/>
          </w:tcPr>
          <w:p>
            <w:pPr>
              <w:spacing w:line="400" w:lineRule="exact"/>
              <w:rPr>
                <w:rFonts w:ascii="宋体" w:hAnsi="宋体"/>
                <w:b/>
                <w:color w:val="000000"/>
                <w:szCs w:val="21"/>
              </w:rPr>
            </w:pPr>
            <w:r>
              <w:t>29.08.01;29.08.09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569" w:type="dxa"/>
            <w:vAlign w:val="center"/>
          </w:tcPr>
          <w:p>
            <w:pPr>
              <w:spacing w:line="400" w:lineRule="exact"/>
              <w:rPr>
                <w:rFonts w:ascii="宋体" w:hAnsi="宋体"/>
                <w:b/>
                <w:color w:val="000000"/>
                <w:szCs w:val="21"/>
              </w:rPr>
            </w:pPr>
          </w:p>
        </w:tc>
        <w:tc>
          <w:tcPr>
            <w:tcW w:w="1813"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page">
              <wp:posOffset>2406650</wp:posOffset>
            </wp:positionH>
            <wp:positionV relativeFrom="page">
              <wp:posOffset>4274820</wp:posOffset>
            </wp:positionV>
            <wp:extent cx="715645" cy="515620"/>
            <wp:effectExtent l="0" t="0" r="8255" b="5080"/>
            <wp:wrapNone/>
            <wp:docPr id="5"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签名"/>
                    <pic:cNvPicPr>
                      <a:picLocks noChangeAspect="1"/>
                    </pic:cNvPicPr>
                  </pic:nvPicPr>
                  <pic:blipFill>
                    <a:blip r:embed="rId6"/>
                    <a:stretch>
                      <a:fillRect/>
                    </a:stretch>
                  </pic:blipFill>
                  <pic:spPr>
                    <a:xfrm>
                      <a:off x="0" y="0"/>
                      <a:ext cx="715645" cy="51562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2021年9月29日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重庆弘亚床上用品有限公司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cs="Times New Roman"/>
                <w:kern w:val="2"/>
                <w:sz w:val="21"/>
                <w:szCs w:val="22"/>
                <w:lang w:val="en-US" w:eastAsia="zh-CN" w:bidi="ar-SA"/>
              </w:rPr>
              <w:drawing>
                <wp:anchor distT="0" distB="0" distL="114300" distR="114300" simplePos="0" relativeHeight="251659264" behindDoc="0" locked="0" layoutInCell="1" allowOverlap="1">
                  <wp:simplePos x="0" y="0"/>
                  <wp:positionH relativeFrom="column">
                    <wp:posOffset>736600</wp:posOffset>
                  </wp:positionH>
                  <wp:positionV relativeFrom="paragraph">
                    <wp:posOffset>3810</wp:posOffset>
                  </wp:positionV>
                  <wp:extent cx="664210" cy="478790"/>
                  <wp:effectExtent l="0" t="0" r="8890" b="3810"/>
                  <wp:wrapNone/>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6"/>
                          <a:stretch>
                            <a:fillRect/>
                          </a:stretch>
                        </pic:blipFill>
                        <pic:spPr>
                          <a:xfrm>
                            <a:off x="0" y="0"/>
                            <a:ext cx="664210" cy="47879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2021年09月29日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rFonts w:hint="eastAsia" w:ascii="宋体" w:hAnsi="宋体" w:cs="Times New Roman"/>
                <w:kern w:val="2"/>
                <w:sz w:val="21"/>
                <w:szCs w:val="22"/>
                <w:lang w:val="en-US" w:eastAsia="zh-CN" w:bidi="ar-SA"/>
              </w:rPr>
              <w:drawing>
                <wp:anchor distT="0" distB="0" distL="114300" distR="114300" simplePos="0" relativeHeight="251660288" behindDoc="0" locked="0" layoutInCell="1" allowOverlap="1">
                  <wp:simplePos x="0" y="0"/>
                  <wp:positionH relativeFrom="column">
                    <wp:posOffset>597535</wp:posOffset>
                  </wp:positionH>
                  <wp:positionV relativeFrom="paragraph">
                    <wp:posOffset>81915</wp:posOffset>
                  </wp:positionV>
                  <wp:extent cx="702945" cy="506095"/>
                  <wp:effectExtent l="0" t="0" r="8255" b="1905"/>
                  <wp:wrapNone/>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6"/>
                          <a:stretch>
                            <a:fillRect/>
                          </a:stretch>
                        </pic:blipFill>
                        <pic:spPr>
                          <a:xfrm>
                            <a:off x="0" y="0"/>
                            <a:ext cx="702945" cy="506095"/>
                          </a:xfrm>
                          <a:prstGeom prst="rect">
                            <a:avLst/>
                          </a:prstGeom>
                          <a:noFill/>
                          <a:ln>
                            <a:noFill/>
                          </a:ln>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cs="宋体"/>
                <w:color w:val="000000"/>
                <w:kern w:val="0"/>
                <w:szCs w:val="21"/>
              </w:rPr>
              <w:t>2021年09月29日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560FBD"/>
    <w:rsid w:val="0F881A11"/>
    <w:rsid w:val="1C534326"/>
    <w:rsid w:val="6D7D038B"/>
    <w:rsid w:val="76562BC9"/>
    <w:rsid w:val="7BDD0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2021-09-29T02:44:51Z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