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039"/>
        <w:gridCol w:w="8"/>
        <w:gridCol w:w="944"/>
        <w:gridCol w:w="761"/>
        <w:gridCol w:w="9367"/>
        <w:gridCol w:w="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44" w:type="dxa"/>
            <w:gridSpan w:val="2"/>
            <w:vMerge w:val="restart"/>
            <w:shd w:val="clear" w:color="auto" w:fill="auto"/>
            <w:vAlign w:val="center"/>
          </w:tcPr>
          <w:p>
            <w:pPr>
              <w:spacing w:before="120"/>
              <w:jc w:val="center"/>
              <w:rPr>
                <w:sz w:val="24"/>
                <w:szCs w:val="24"/>
              </w:rPr>
            </w:pPr>
            <w:bookmarkStart w:id="4" w:name="_GoBack"/>
            <w:r>
              <w:rPr>
                <w:rFonts w:hint="eastAsia"/>
                <w:sz w:val="24"/>
                <w:szCs w:val="24"/>
              </w:rPr>
              <w:t>过程与活动、</w:t>
            </w:r>
          </w:p>
          <w:p>
            <w:pPr>
              <w:jc w:val="center"/>
            </w:pPr>
            <w:r>
              <w:rPr>
                <w:rFonts w:hint="eastAsia"/>
                <w:sz w:val="24"/>
                <w:szCs w:val="24"/>
              </w:rPr>
              <w:t>抽样计划</w:t>
            </w:r>
          </w:p>
        </w:tc>
        <w:tc>
          <w:tcPr>
            <w:tcW w:w="952"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shd w:val="clear" w:color="auto" w:fill="auto"/>
            <w:vAlign w:val="center"/>
          </w:tcPr>
          <w:p>
            <w:pP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color w:val="0000FF"/>
                <w:sz w:val="24"/>
                <w:szCs w:val="24"/>
                <w:highlight w:val="none"/>
              </w:rPr>
              <w:t xml:space="preserve"> </w:t>
            </w:r>
            <w:r>
              <w:rPr>
                <w:rFonts w:hint="eastAsia"/>
                <w:color w:val="auto"/>
                <w:sz w:val="24"/>
                <w:szCs w:val="24"/>
                <w:highlight w:val="none"/>
              </w:rPr>
              <w:t>陪同人员：</w:t>
            </w:r>
            <w:r>
              <w:rPr>
                <w:rFonts w:hint="eastAsia"/>
                <w:sz w:val="24"/>
                <w:szCs w:val="24"/>
                <w:lang w:val="en-US" w:eastAsia="zh-CN"/>
              </w:rPr>
              <w:t>胡泽慧</w:t>
            </w:r>
          </w:p>
        </w:tc>
        <w:tc>
          <w:tcPr>
            <w:tcW w:w="1590"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44" w:type="dxa"/>
            <w:gridSpan w:val="2"/>
            <w:vMerge w:val="continue"/>
            <w:shd w:val="clear" w:color="auto" w:fill="auto"/>
            <w:vAlign w:val="center"/>
          </w:tcPr>
          <w:p/>
        </w:tc>
        <w:tc>
          <w:tcPr>
            <w:tcW w:w="952" w:type="dxa"/>
            <w:gridSpan w:val="2"/>
            <w:vMerge w:val="continue"/>
            <w:shd w:val="clear" w:color="auto" w:fill="auto"/>
            <w:vAlign w:val="center"/>
          </w:tcPr>
          <w:p/>
        </w:tc>
        <w:tc>
          <w:tcPr>
            <w:tcW w:w="10128" w:type="dxa"/>
            <w:gridSpan w:val="2"/>
            <w:shd w:val="clear" w:color="auto" w:fill="auto"/>
            <w:vAlign w:val="center"/>
          </w:tcPr>
          <w:p>
            <w:pPr>
              <w:spacing w:before="120"/>
            </w:pPr>
            <w:r>
              <w:rPr>
                <w:rFonts w:hint="eastAsia"/>
                <w:sz w:val="24"/>
                <w:szCs w:val="24"/>
              </w:rPr>
              <w:t>审核员：肖新龙</w:t>
            </w:r>
            <w:r>
              <w:rPr>
                <w:sz w:val="24"/>
                <w:szCs w:val="24"/>
              </w:rPr>
              <w:t xml:space="preserve">        </w:t>
            </w:r>
            <w:r>
              <w:rPr>
                <w:rFonts w:hint="eastAsia"/>
                <w:sz w:val="24"/>
                <w:szCs w:val="24"/>
              </w:rPr>
              <w:t xml:space="preserve">          审核日期：2021-</w:t>
            </w:r>
            <w:r>
              <w:rPr>
                <w:rFonts w:hint="eastAsia"/>
                <w:sz w:val="24"/>
                <w:szCs w:val="24"/>
                <w:lang w:val="en-US" w:eastAsia="zh-CN"/>
              </w:rPr>
              <w:t>11-15</w:t>
            </w:r>
            <w:r>
              <w:rPr>
                <w:rFonts w:hint="eastAsia"/>
                <w:sz w:val="24"/>
                <w:szCs w:val="24"/>
              </w:rPr>
              <w:t>（远程）</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44" w:type="dxa"/>
            <w:gridSpan w:val="2"/>
            <w:vMerge w:val="continue"/>
            <w:shd w:val="clear" w:color="auto" w:fill="auto"/>
            <w:vAlign w:val="center"/>
          </w:tcPr>
          <w:p/>
        </w:tc>
        <w:tc>
          <w:tcPr>
            <w:tcW w:w="952" w:type="dxa"/>
            <w:gridSpan w:val="2"/>
            <w:vMerge w:val="continue"/>
            <w:shd w:val="clear" w:color="auto" w:fill="auto"/>
            <w:vAlign w:val="center"/>
          </w:tcPr>
          <w:p/>
        </w:tc>
        <w:tc>
          <w:tcPr>
            <w:tcW w:w="10128" w:type="dxa"/>
            <w:gridSpan w:val="2"/>
            <w:shd w:val="clear" w:color="auto" w:fill="auto"/>
            <w:vAlign w:val="center"/>
          </w:tcPr>
          <w:p>
            <w:pPr>
              <w:spacing w:before="120"/>
              <w:rPr>
                <w:sz w:val="24"/>
                <w:szCs w:val="24"/>
              </w:rPr>
            </w:pPr>
            <w:r>
              <w:rPr>
                <w:rFonts w:hint="eastAsia"/>
                <w:sz w:val="24"/>
                <w:szCs w:val="24"/>
              </w:rPr>
              <w:t>审核条款：FSMS：4.1/4.2/4.3/4.4/5.1/5.2/5.3/6.1/6.2/6.3/7.1.1/7.4/9.1.1/9.3/10.2/10.3</w:t>
            </w:r>
          </w:p>
          <w:p>
            <w:pPr>
              <w:spacing w:before="120"/>
              <w:ind w:firstLine="1200" w:firstLineChars="500"/>
              <w:rPr>
                <w:sz w:val="24"/>
                <w:szCs w:val="24"/>
              </w:rPr>
            </w:pPr>
            <w:r>
              <w:rPr>
                <w:rFonts w:hint="eastAsia"/>
                <w:sz w:val="24"/>
                <w:szCs w:val="24"/>
              </w:rPr>
              <w:t>H:4.1/4.2.1/4.2.2/5.1/5.2/5.3/5.4/5.5及GB14881相关条款内容及1.0要求</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理解组织及其所处的环境</w:t>
            </w:r>
          </w:p>
        </w:tc>
        <w:tc>
          <w:tcPr>
            <w:tcW w:w="952" w:type="dxa"/>
            <w:gridSpan w:val="2"/>
            <w:vMerge w:val="restart"/>
            <w:shd w:val="clear" w:color="auto" w:fill="auto"/>
          </w:tcPr>
          <w:p>
            <w:r>
              <w:rPr>
                <w:rFonts w:hint="eastAsia"/>
              </w:rPr>
              <w:t xml:space="preserve">F4.1 </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A8"/>
            </w:r>
            <w:r>
              <w:rPr>
                <w:rFonts w:hint="eastAsia"/>
              </w:rPr>
              <w:t xml:space="preserve">《组织及其环境控制程序》、☑管理手册第4.1章 </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rFonts w:hint="default" w:eastAsia="宋体"/>
                      <w:highlight w:val="yellow"/>
                      <w:lang w:val="en-US" w:eastAsia="zh-CN"/>
                    </w:rPr>
                  </w:pPr>
                  <w:r>
                    <w:rPr>
                      <w:rFonts w:hint="eastAsia"/>
                      <w:lang w:val="en-US" w:eastAsia="zh-CN"/>
                    </w:rPr>
                    <w:t>校方</w:t>
                  </w:r>
                  <w:r>
                    <w:rPr>
                      <w:rFonts w:hint="eastAsia"/>
                    </w:rPr>
                    <w:t>对</w:t>
                  </w:r>
                  <w:r>
                    <w:rPr>
                      <w:rFonts w:hint="eastAsia"/>
                      <w:lang w:val="en-US" w:eastAsia="zh-CN"/>
                    </w:rPr>
                    <w:t>饭菜质量和</w:t>
                  </w:r>
                  <w:r>
                    <w:rPr>
                      <w:rFonts w:hint="eastAsia"/>
                    </w:rPr>
                    <w:t>食品安全</w:t>
                  </w:r>
                  <w:r>
                    <w:rPr>
                      <w:rFonts w:hint="eastAsia"/>
                      <w:lang w:val="en-US" w:eastAsia="zh-CN"/>
                    </w:rPr>
                    <w:t>的重视程度越来越高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none"/>
                    </w:rPr>
                  </w:pPr>
                  <w:r>
                    <w:rPr>
                      <w:rFonts w:hint="eastAsia"/>
                      <w:highlight w:val="none"/>
                    </w:rPr>
                    <w:t>内部环境</w:t>
                  </w:r>
                </w:p>
              </w:tc>
              <w:tc>
                <w:tcPr>
                  <w:tcW w:w="7375" w:type="dxa"/>
                </w:tcPr>
                <w:p>
                  <w:pPr>
                    <w:rPr>
                      <w:highlight w:val="yellow"/>
                    </w:rPr>
                  </w:pPr>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none"/>
                    </w:rPr>
                  </w:pPr>
                  <w:r>
                    <w:rPr>
                      <w:rFonts w:hint="eastAsia"/>
                      <w:highlight w:val="none"/>
                    </w:rPr>
                    <w:t>列举主要的内容</w:t>
                  </w:r>
                </w:p>
              </w:tc>
              <w:tc>
                <w:tcPr>
                  <w:tcW w:w="7375" w:type="dxa"/>
                </w:tcPr>
                <w:p>
                  <w:pPr>
                    <w:rPr>
                      <w:rFonts w:hint="default" w:eastAsia="宋体"/>
                      <w:lang w:val="en-US" w:eastAsia="zh-CN"/>
                    </w:rPr>
                  </w:pPr>
                  <w:r>
                    <w:rPr>
                      <w:rFonts w:hint="eastAsia"/>
                      <w:lang w:val="en-US" w:eastAsia="zh-CN"/>
                    </w:rPr>
                    <w:t>各类基础设备较为完善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highlight w:val="none"/>
                    </w:rPr>
                  </w:pPr>
                  <w:r>
                    <w:rPr>
                      <w:rFonts w:hint="eastAsia"/>
                      <w:color w:val="000000"/>
                      <w:szCs w:val="21"/>
                      <w:highlight w:val="none"/>
                    </w:rPr>
                    <w:t>组织优势说明</w:t>
                  </w:r>
                </w:p>
              </w:tc>
              <w:tc>
                <w:tcPr>
                  <w:tcW w:w="7375" w:type="dxa"/>
                </w:tcPr>
                <w:p>
                  <w:pPr>
                    <w:rPr>
                      <w:rFonts w:hint="default"/>
                      <w:highlight w:val="none"/>
                      <w:lang w:val="en-US"/>
                    </w:rPr>
                  </w:pPr>
                  <w:r>
                    <w:rPr>
                      <w:rFonts w:hint="eastAsia"/>
                      <w:highlight w:val="none"/>
                      <w:lang w:val="en-US" w:eastAsia="zh-CN"/>
                    </w:rPr>
                    <w:t>餐饮管理经验多年，自由资金较为充足，与甲方合作多多年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none"/>
                    </w:rPr>
                  </w:pPr>
                  <w:r>
                    <w:rPr>
                      <w:rFonts w:hint="eastAsia"/>
                      <w:color w:val="000000"/>
                      <w:szCs w:val="21"/>
                      <w:highlight w:val="none"/>
                    </w:rPr>
                    <w:t>组织劣势说明</w:t>
                  </w:r>
                </w:p>
              </w:tc>
              <w:tc>
                <w:tcPr>
                  <w:tcW w:w="7375" w:type="dxa"/>
                </w:tcPr>
                <w:p>
                  <w:r>
                    <w:rPr>
                      <w:rFonts w:hint="eastAsia"/>
                    </w:rPr>
                    <w:t>人员素质参差不齐，食品安全意识不</w:t>
                  </w:r>
                  <w:r>
                    <w:rPr>
                      <w:rFonts w:hint="eastAsia"/>
                      <w:lang w:val="en-US" w:eastAsia="zh-CN"/>
                    </w:rPr>
                    <w:t>够</w:t>
                  </w:r>
                  <w:r>
                    <w:rPr>
                      <w:rFonts w:hint="eastAsia"/>
                    </w:rPr>
                    <w:t>强，对岗位职责认识不足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none"/>
                    </w:rPr>
                  </w:pPr>
                  <w:r>
                    <w:rPr>
                      <w:rFonts w:hint="eastAsia"/>
                      <w:color w:val="000000"/>
                      <w:szCs w:val="21"/>
                      <w:highlight w:val="none"/>
                    </w:rPr>
                    <w:t>主要风险的说明</w:t>
                  </w:r>
                </w:p>
              </w:tc>
              <w:tc>
                <w:tcPr>
                  <w:tcW w:w="7375" w:type="dxa"/>
                </w:tcPr>
                <w:p>
                  <w:r>
                    <w:rPr>
                      <w:rFonts w:hint="eastAsia"/>
                      <w:lang w:val="en-US" w:eastAsia="zh-CN"/>
                    </w:rPr>
                    <w:t>火灾爆炸、</w:t>
                  </w:r>
                  <w:r>
                    <w:rPr>
                      <w:rFonts w:hint="eastAsia"/>
                    </w:rPr>
                    <w:t>食物中毒发生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highlight w:val="none"/>
                    </w:rPr>
                  </w:pPr>
                  <w:r>
                    <w:rPr>
                      <w:rFonts w:hint="eastAsia"/>
                      <w:color w:val="000000"/>
                      <w:szCs w:val="21"/>
                      <w:highlight w:val="none"/>
                    </w:rPr>
                    <w:t>机遇的说明</w:t>
                  </w:r>
                </w:p>
              </w:tc>
              <w:tc>
                <w:tcPr>
                  <w:tcW w:w="7375" w:type="dxa"/>
                </w:tcPr>
                <w:p>
                  <w:pPr>
                    <w:rPr>
                      <w:rFonts w:hint="default" w:eastAsia="宋体"/>
                      <w:highlight w:val="none"/>
                      <w:lang w:val="en-US" w:eastAsia="zh-CN"/>
                    </w:rPr>
                  </w:pPr>
                  <w:r>
                    <w:rPr>
                      <w:rFonts w:hint="eastAsia"/>
                      <w:highlight w:val="none"/>
                      <w:lang w:val="en-US" w:eastAsia="zh-CN"/>
                    </w:rPr>
                    <w:t>餐厅位于校区院内，方便管理，</w:t>
                  </w:r>
                </w:p>
              </w:tc>
            </w:tr>
          </w:tbl>
          <w:p>
            <w:pPr>
              <w:rPr>
                <w:color w:val="000000"/>
                <w:szCs w:val="21"/>
              </w:rPr>
            </w:pPr>
          </w:p>
          <w:p>
            <w:pPr>
              <w:rPr>
                <w:rFonts w:hint="default" w:eastAsia="宋体"/>
                <w:highlight w:val="none"/>
                <w:lang w:val="en-US" w:eastAsia="zh-CN"/>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highlight w:val="none"/>
              </w:rPr>
              <w:t xml:space="preserve"> </w:t>
            </w:r>
            <w:r>
              <w:rPr>
                <w:rFonts w:hint="eastAsia"/>
                <w:highlight w:val="none"/>
              </w:rPr>
              <w:sym w:font="Wingdings" w:char="00FE"/>
            </w:r>
            <w:r>
              <w:rPr>
                <w:rFonts w:hint="eastAsia"/>
                <w:highlight w:val="none"/>
              </w:rPr>
              <w:t>组织内外部</w:t>
            </w:r>
            <w:r>
              <w:rPr>
                <w:rFonts w:hint="eastAsia"/>
                <w:highlight w:val="none"/>
                <w:lang w:val="en-US" w:eastAsia="zh-CN"/>
              </w:rPr>
              <w:t>环境分析表</w:t>
            </w:r>
          </w:p>
          <w:p>
            <w:pPr>
              <w:rPr>
                <w:color w:val="000000"/>
                <w:szCs w:val="21"/>
              </w:rPr>
            </w:pP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理解相关方的需求和期望</w:t>
            </w:r>
          </w:p>
        </w:tc>
        <w:tc>
          <w:tcPr>
            <w:tcW w:w="952" w:type="dxa"/>
            <w:gridSpan w:val="2"/>
            <w:vMerge w:val="restart"/>
            <w:shd w:val="clear" w:color="auto" w:fill="auto"/>
          </w:tcPr>
          <w:p>
            <w:r>
              <w:rPr>
                <w:rFonts w:hint="eastAsia"/>
              </w:rPr>
              <w:t xml:space="preserve">F4.2 </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A8"/>
            </w:r>
            <w:r>
              <w:rPr>
                <w:rFonts w:hint="eastAsia"/>
              </w:rPr>
              <w:t>《理解相关方的需求和期望控制程序》</w:t>
            </w:r>
            <w:r>
              <w:rPr>
                <w:rFonts w:hint="eastAsia"/>
                <w:highlight w:val="none"/>
              </w:rPr>
              <w:t>、</w:t>
            </w:r>
            <w:r>
              <w:rPr>
                <w:rFonts w:hint="eastAsia"/>
                <w:highlight w:val="none"/>
              </w:rPr>
              <w:sym w:font="Wingdings 2" w:char="0052"/>
            </w:r>
            <w:r>
              <w:rPr>
                <w:rFonts w:hint="eastAsia"/>
                <w:highlight w:val="none"/>
              </w:rPr>
              <w:t>管理手册第4.2章</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495" w:type="dxa"/>
                </w:tcPr>
                <w:p>
                  <w:pPr>
                    <w:rPr>
                      <w:highlight w:val="none"/>
                    </w:rPr>
                  </w:pPr>
                  <w:r>
                    <w:rPr>
                      <w:rFonts w:hint="eastAsia"/>
                      <w:highlight w:val="none"/>
                    </w:rPr>
                    <w:t>相关方名称举例</w:t>
                  </w:r>
                </w:p>
              </w:tc>
              <w:tc>
                <w:tcPr>
                  <w:tcW w:w="3611" w:type="dxa"/>
                </w:tcPr>
                <w:p>
                  <w:pPr>
                    <w:rPr>
                      <w:highlight w:val="none"/>
                    </w:rPr>
                  </w:pPr>
                  <w:r>
                    <w:rPr>
                      <w:rFonts w:hint="eastAsia"/>
                      <w:highlight w:val="none"/>
                    </w:rPr>
                    <w:t>重要的相关方需求和希望（不必全选）</w:t>
                  </w:r>
                </w:p>
              </w:tc>
              <w:tc>
                <w:tcPr>
                  <w:tcW w:w="1324" w:type="dxa"/>
                </w:tcPr>
                <w:p>
                  <w:pPr>
                    <w:rPr>
                      <w:highlight w:val="none"/>
                    </w:rPr>
                  </w:pPr>
                  <w:r>
                    <w:rPr>
                      <w:rFonts w:hint="eastAsia"/>
                      <w:highlight w:val="none"/>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主管部门</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仓山区食药监局</w:t>
                  </w:r>
                </w:p>
              </w:tc>
              <w:tc>
                <w:tcPr>
                  <w:tcW w:w="3611" w:type="dxa"/>
                </w:tcPr>
                <w:p>
                  <w:pPr>
                    <w:rPr>
                      <w:highlight w:val="none"/>
                    </w:rPr>
                  </w:pPr>
                  <w:r>
                    <w:rPr>
                      <w:rFonts w:hint="eastAsia"/>
                      <w:highlight w:val="none"/>
                    </w:rPr>
                    <w:t>☑遵守食品安全相关的法律法规</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vAlign w:val="top"/>
                </w:tcPr>
                <w:p>
                  <w:pPr>
                    <w:rPr>
                      <w:rFonts w:hint="eastAsia" w:ascii="Times New Roman" w:hAnsi="Times New Roman" w:eastAsia="华文仿宋" w:cs="Times New Roman"/>
                      <w:kern w:val="2"/>
                      <w:sz w:val="21"/>
                      <w:highlight w:val="none"/>
                      <w:lang w:val="en-US" w:eastAsia="zh-CN" w:bidi="ar-SA"/>
                    </w:rPr>
                  </w:pPr>
                  <w:r>
                    <w:rPr>
                      <w:rFonts w:hint="eastAsia" w:asciiTheme="minorEastAsia" w:hAnsiTheme="minorEastAsia" w:eastAsiaTheme="minorEastAsia" w:cstheme="minorEastAsia"/>
                      <w:szCs w:val="21"/>
                      <w:highlight w:val="none"/>
                    </w:rPr>
                    <w:t>福州万联粮油食品有限公司</w:t>
                  </w:r>
                  <w:r>
                    <w:rPr>
                      <w:rFonts w:hint="eastAsia" w:asciiTheme="minorEastAsia" w:hAnsiTheme="minorEastAsia" w:eastAsiaTheme="minorEastAsia" w:cstheme="minorEastAsia"/>
                      <w:szCs w:val="21"/>
                      <w:highlight w:val="none"/>
                      <w:lang w:eastAsia="zh-CN"/>
                    </w:rPr>
                    <w:t>、福州市台江区潘锦芳猪肉店</w:t>
                  </w:r>
                </w:p>
              </w:tc>
              <w:tc>
                <w:tcPr>
                  <w:tcW w:w="3611" w:type="dxa"/>
                </w:tcPr>
                <w:p>
                  <w:pPr>
                    <w:rPr>
                      <w:highlight w:val="none"/>
                    </w:rPr>
                  </w:pPr>
                  <w:r>
                    <w:rPr>
                      <w:rFonts w:hint="eastAsia"/>
                      <w:highlight w:val="none"/>
                    </w:rPr>
                    <w:t>☑组织的持续经营、明示采购的食品安全要求</w:t>
                  </w:r>
                </w:p>
                <w:p>
                  <w:pPr>
                    <w:rPr>
                      <w:highlight w:val="none"/>
                    </w:rPr>
                  </w:pPr>
                  <w:r>
                    <w:rPr>
                      <w:rFonts w:hint="eastAsia"/>
                      <w:highlight w:val="none"/>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highlight w:val="none"/>
                    </w:rPr>
                  </w:pPr>
                  <w:r>
                    <w:rPr>
                      <w:rFonts w:hint="eastAsia"/>
                      <w:color w:val="auto"/>
                      <w:highlight w:val="none"/>
                      <w:lang w:eastAsia="zh-CN"/>
                    </w:rPr>
                    <w:sym w:font="Wingdings 2" w:char="0052"/>
                  </w:r>
                  <w:r>
                    <w:rPr>
                      <w:rFonts w:hint="eastAsia"/>
                      <w:color w:val="auto"/>
                      <w:highlight w:val="none"/>
                    </w:rPr>
                    <w:t>顾客</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福建农业职业技术学院</w:t>
                  </w:r>
                </w:p>
              </w:tc>
              <w:tc>
                <w:tcPr>
                  <w:tcW w:w="3611" w:type="dxa"/>
                </w:tcPr>
                <w:p>
                  <w:pPr>
                    <w:ind w:left="210" w:hanging="210" w:hangingChars="100"/>
                    <w:rPr>
                      <w:color w:val="auto"/>
                      <w:highlight w:val="none"/>
                    </w:rPr>
                  </w:pPr>
                  <w:r>
                    <w:rPr>
                      <w:rFonts w:hint="eastAsia"/>
                      <w:color w:val="auto"/>
                      <w:highlight w:val="none"/>
                    </w:rPr>
                    <w:t>☑不因食品安全问题影响按时按质按量交付产品或服务；</w:t>
                  </w:r>
                </w:p>
                <w:p>
                  <w:pPr>
                    <w:rPr>
                      <w:color w:val="auto"/>
                      <w:highlight w:val="none"/>
                    </w:rPr>
                  </w:pPr>
                  <w:r>
                    <w:rPr>
                      <w:rFonts w:hint="eastAsia"/>
                      <w:color w:val="auto"/>
                      <w:highlight w:val="none"/>
                    </w:rPr>
                    <w:t>□</w:t>
                  </w:r>
                </w:p>
              </w:tc>
              <w:tc>
                <w:tcPr>
                  <w:tcW w:w="1324" w:type="dxa"/>
                </w:tcPr>
                <w:p>
                  <w:pPr>
                    <w:rPr>
                      <w:color w:val="auto"/>
                      <w:highlight w:val="none"/>
                    </w:rPr>
                  </w:pPr>
                  <w:r>
                    <w:rPr>
                      <w:rFonts w:hint="eastAsia"/>
                      <w:color w:val="auto"/>
                      <w:highlight w:val="none"/>
                    </w:rPr>
                    <w:sym w:font="Wingdings" w:char="00FE"/>
                  </w:r>
                  <w:r>
                    <w:rPr>
                      <w:rFonts w:hint="eastAsia"/>
                      <w:color w:val="auto"/>
                      <w:highlight w:val="none"/>
                    </w:rPr>
                    <w:t xml:space="preserve">是  </w:t>
                  </w:r>
                  <w:r>
                    <w:rPr>
                      <w:rFonts w:hint="eastAsia"/>
                      <w:color w:val="auto"/>
                      <w:highlight w:val="none"/>
                    </w:rPr>
                    <w:sym w:font="Wingdings" w:char="00A8"/>
                  </w:r>
                  <w:r>
                    <w:rPr>
                      <w:rFonts w:hint="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☑消费者</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在校教职工及学生</w:t>
                  </w:r>
                </w:p>
              </w:tc>
              <w:tc>
                <w:tcPr>
                  <w:tcW w:w="3611" w:type="dxa"/>
                </w:tcPr>
                <w:p>
                  <w:pPr>
                    <w:rPr>
                      <w:highlight w:val="none"/>
                    </w:rPr>
                  </w:pPr>
                  <w:r>
                    <w:rPr>
                      <w:rFonts w:hint="eastAsia"/>
                      <w:highlight w:val="none"/>
                    </w:rPr>
                    <w:t>☑不因食品安全问题带来健康损害和生命威胁</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lang w:eastAsia="zh-CN"/>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eastAsia"/>
                    </w:rPr>
                  </w:pPr>
                  <w:r>
                    <w:rPr>
                      <w:rFonts w:hint="eastAsia"/>
                      <w:lang w:eastAsia="zh-CN"/>
                    </w:rPr>
                    <w:sym w:font="Wingdings 2" w:char="00A3"/>
                  </w:r>
                  <w:r>
                    <w:rPr>
                      <w:rFonts w:hint="eastAsia"/>
                    </w:rPr>
                    <w:t>投资方</w:t>
                  </w:r>
                </w:p>
                <w:p>
                  <w:pPr>
                    <w:rPr>
                      <w:rFonts w:hint="default"/>
                      <w:lang w:val="en-US"/>
                    </w:rPr>
                  </w:pPr>
                  <w:r>
                    <w:rPr>
                      <w:rFonts w:hint="eastAsia"/>
                      <w:lang w:eastAsia="zh-CN"/>
                    </w:rPr>
                    <w:sym w:font="Wingdings 2" w:char="0052"/>
                  </w:r>
                  <w:r>
                    <w:rPr>
                      <w:rFonts w:hint="eastAsia"/>
                      <w:lang w:val="en-US" w:eastAsia="zh-CN"/>
                    </w:rPr>
                    <w:t>股东</w:t>
                  </w:r>
                </w:p>
                <w:p>
                  <w:pPr>
                    <w:rPr>
                      <w:rFonts w:hint="eastAsia"/>
                    </w:rPr>
                  </w:pPr>
                </w:p>
              </w:tc>
              <w:tc>
                <w:tcPr>
                  <w:tcW w:w="24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自然人3名</w:t>
                  </w:r>
                </w:p>
              </w:tc>
              <w:tc>
                <w:tcPr>
                  <w:tcW w:w="3611" w:type="dxa"/>
                </w:tcPr>
                <w:p>
                  <w:r>
                    <w:rPr>
                      <w:rFonts w:hint="eastAsia"/>
                      <w:lang w:eastAsia="zh-CN"/>
                    </w:rPr>
                    <w:t>□</w:t>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highlight w:val="none"/>
              </w:rPr>
              <w:t>相关方的需求和期望分析表</w:t>
            </w:r>
            <w:r>
              <w:rPr>
                <w:rFonts w:hint="eastAsia"/>
              </w:rPr>
              <w:t xml:space="preserve">》  </w:t>
            </w:r>
            <w:r>
              <w:rPr>
                <w:rFonts w:hint="eastAsia"/>
              </w:rPr>
              <w:sym w:font="Wingdings" w:char="00A8"/>
            </w:r>
            <w:r>
              <w:rPr>
                <w:rFonts w:hint="eastAsia"/>
              </w:rPr>
              <w:t xml:space="preserve">《年度业务计划》 </w:t>
            </w:r>
            <w:r>
              <w:rPr>
                <w:rFonts w:hint="eastAsia"/>
              </w:rPr>
              <w:sym w:font="Wingdings" w:char="00FE"/>
            </w:r>
            <w:r>
              <w:rPr>
                <w:rFonts w:hint="eastAsia"/>
                <w:lang w:eastAsia="zh-CN"/>
              </w:rPr>
              <w:t>《</w:t>
            </w:r>
            <w:r>
              <w:rPr>
                <w:rFonts w:hint="eastAsia"/>
              </w:rPr>
              <w:t>相关方及相关方要求清单</w:t>
            </w:r>
            <w:r>
              <w:rPr>
                <w:rFonts w:hint="eastAsia"/>
                <w:lang w:eastAsia="zh-CN"/>
              </w:rPr>
              <w:t>》</w:t>
            </w:r>
            <w:r>
              <w:rPr>
                <w:rFonts w:hint="eastAsia"/>
                <w:lang w:val="en-US" w:eastAsia="zh-CN"/>
              </w:rPr>
              <w:t xml:space="preserve">  </w:t>
            </w:r>
            <w:r>
              <w:rPr>
                <w:rFonts w:hint="eastAsia"/>
              </w:rPr>
              <w:sym w:font="Wingdings" w:char="00A8"/>
            </w:r>
            <w:r>
              <w:rPr>
                <w:rFonts w:hint="eastAsia"/>
              </w:rPr>
              <w:t>其他</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确定食品安全管理体系的范围</w:t>
            </w:r>
          </w:p>
        </w:tc>
        <w:tc>
          <w:tcPr>
            <w:tcW w:w="952" w:type="dxa"/>
            <w:gridSpan w:val="2"/>
            <w:vMerge w:val="restart"/>
            <w:shd w:val="clear" w:color="auto" w:fill="auto"/>
          </w:tcPr>
          <w:p>
            <w:r>
              <w:rPr>
                <w:rFonts w:hint="eastAsia"/>
              </w:rPr>
              <w:t>F4.3</w:t>
            </w:r>
          </w:p>
          <w:p>
            <w:r>
              <w:rPr>
                <w:rFonts w:hint="eastAsia"/>
              </w:rPr>
              <w:t>H</w:t>
            </w:r>
            <w:r>
              <w:t>4.1</w:t>
            </w:r>
          </w:p>
        </w:tc>
        <w:tc>
          <w:tcPr>
            <w:tcW w:w="761" w:type="dxa"/>
            <w:shd w:val="clear" w:color="auto" w:fill="auto"/>
          </w:tcPr>
          <w:p>
            <w:r>
              <w:rPr>
                <w:rFonts w:hint="eastAsia"/>
              </w:rPr>
              <w:t>文件名称</w:t>
            </w:r>
          </w:p>
        </w:tc>
        <w:tc>
          <w:tcPr>
            <w:tcW w:w="9367" w:type="dxa"/>
            <w:shd w:val="clear" w:color="auto" w:fill="auto"/>
          </w:tcPr>
          <w:p>
            <w:r>
              <w:rPr>
                <w:rFonts w:hint="eastAsia"/>
              </w:rPr>
              <w:t>如：管理手册第4.2章和“公司介绍”</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1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715" w:type="dxa"/>
                </w:tcPr>
                <w:p>
                  <w:r>
                    <w:rPr>
                      <w:rFonts w:hint="eastAsia"/>
                    </w:rPr>
                    <w:t>内容描述</w:t>
                  </w:r>
                </w:p>
              </w:tc>
              <w:tc>
                <w:tcPr>
                  <w:tcW w:w="241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715" w:type="dxa"/>
                </w:tcPr>
                <w:p>
                  <w:pPr>
                    <w:rPr>
                      <w:color w:val="auto"/>
                      <w:sz w:val="20"/>
                      <w:highlight w:val="none"/>
                    </w:rPr>
                  </w:pPr>
                  <w:bookmarkStart w:id="0" w:name="审核范围"/>
                  <w:r>
                    <w:rPr>
                      <w:color w:val="auto"/>
                      <w:sz w:val="20"/>
                      <w:highlight w:val="none"/>
                    </w:rPr>
                    <w:t>F：福建省福州市仓山区上三路190号综合楼1层资质范围内的食堂的餐饮管理服务（热食类食品制售）。</w:t>
                  </w:r>
                </w:p>
                <w:p>
                  <w:pPr>
                    <w:rPr>
                      <w:highlight w:val="yellow"/>
                    </w:rPr>
                  </w:pPr>
                  <w:r>
                    <w:rPr>
                      <w:color w:val="auto"/>
                      <w:sz w:val="20"/>
                      <w:highlight w:val="none"/>
                    </w:rPr>
                    <w:t>H：福建省福州市仓山区上三路190号综合楼1层资质范围内的食堂的餐饮管理服务（热食类食品制售）</w:t>
                  </w:r>
                  <w:bookmarkEnd w:id="0"/>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715" w:type="dxa"/>
                </w:tcPr>
                <w:p>
                  <w:bookmarkStart w:id="1" w:name="生产地址"/>
                  <w:r>
                    <w:rPr>
                      <w:rFonts w:asciiTheme="minorEastAsia" w:hAnsiTheme="minorEastAsia" w:eastAsiaTheme="minorEastAsia"/>
                      <w:sz w:val="20"/>
                    </w:rPr>
                    <w:t>福建省福州市仓山区上三路190号综合楼1层</w:t>
                  </w:r>
                  <w:bookmarkEnd w:id="1"/>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715"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715" w:type="dxa"/>
                </w:tcPr>
                <w:p>
                  <w:r>
                    <w:rPr>
                      <w:rFonts w:hint="eastAsia"/>
                    </w:rPr>
                    <w:sym w:font="Wingdings" w:char="00A8"/>
                  </w:r>
                  <w:r>
                    <w:rPr>
                      <w:rFonts w:hint="eastAsia"/>
                    </w:rPr>
                    <w:t xml:space="preserve"> 体系建立以来：</w:t>
                  </w:r>
                </w:p>
                <w:p>
                  <w:pPr>
                    <w:rPr>
                      <w:rFonts w:hint="default" w:eastAsia="宋体"/>
                      <w:lang w:val="en-US" w:eastAsia="zh-CN"/>
                    </w:rPr>
                  </w:pPr>
                  <w:r>
                    <w:rPr>
                      <w:rFonts w:hint="eastAsia"/>
                    </w:rPr>
                    <w:sym w:font="Wingdings" w:char="00FE"/>
                  </w:r>
                  <w:r>
                    <w:rPr>
                      <w:rFonts w:hint="eastAsia"/>
                      <w:lang w:val="en-US" w:eastAsia="zh-CN"/>
                    </w:rPr>
                    <w:t xml:space="preserve"> 近一年以来：</w:t>
                  </w:r>
                  <w:r>
                    <w:rPr>
                      <w:rFonts w:hint="eastAsia"/>
                      <w:u w:val="single"/>
                      <w:lang w:val="en-US" w:eastAsia="zh-CN"/>
                    </w:rPr>
                    <w:t xml:space="preserve">2019-09-01 </w:t>
                  </w:r>
                </w:p>
              </w:tc>
              <w:tc>
                <w:tcPr>
                  <w:tcW w:w="2417" w:type="dxa"/>
                </w:tcPr>
                <w:p/>
              </w:tc>
            </w:tr>
          </w:tbl>
          <w:p/>
          <w:p>
            <w:pPr>
              <w:rPr>
                <w:color w:val="000000"/>
                <w:szCs w:val="21"/>
              </w:rPr>
            </w:pPr>
            <w:r>
              <w:rPr>
                <w:rFonts w:hint="eastAsia"/>
                <w:color w:val="000000"/>
                <w:szCs w:val="21"/>
              </w:rPr>
              <w:t>在企业的管理手册中有描述。</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食品安全管理体系</w:t>
            </w:r>
          </w:p>
        </w:tc>
        <w:tc>
          <w:tcPr>
            <w:tcW w:w="952" w:type="dxa"/>
            <w:gridSpan w:val="2"/>
            <w:vMerge w:val="restart"/>
            <w:shd w:val="clear" w:color="auto" w:fill="auto"/>
          </w:tcPr>
          <w:p>
            <w:r>
              <w:rPr>
                <w:rFonts w:hint="eastAsia"/>
              </w:rPr>
              <w:t xml:space="preserve">F4.4 </w:t>
            </w:r>
          </w:p>
          <w:p>
            <w:r>
              <w:rPr>
                <w:rFonts w:hint="eastAsia"/>
              </w:rPr>
              <w:t>H</w:t>
            </w:r>
            <w:r>
              <w:t>4.2.1</w:t>
            </w:r>
          </w:p>
          <w:p>
            <w:r>
              <w:rPr>
                <w:rFonts w:hint="eastAsia"/>
              </w:rPr>
              <w:t>H</w:t>
            </w:r>
            <w:r>
              <w:t>4.2.2</w:t>
            </w:r>
          </w:p>
        </w:tc>
        <w:tc>
          <w:tcPr>
            <w:tcW w:w="761" w:type="dxa"/>
            <w:shd w:val="clear" w:color="auto" w:fill="auto"/>
          </w:tcPr>
          <w:p>
            <w:r>
              <w:rPr>
                <w:rFonts w:hint="eastAsia"/>
              </w:rPr>
              <w:t>文件名称</w:t>
            </w:r>
          </w:p>
        </w:tc>
        <w:tc>
          <w:tcPr>
            <w:tcW w:w="9367" w:type="dxa"/>
            <w:shd w:val="clear" w:color="auto" w:fill="auto"/>
          </w:tcPr>
          <w:p>
            <w:pPr>
              <w:rPr>
                <w:rFonts w:hint="eastAsia" w:eastAsia="宋体"/>
                <w:lang w:eastAsia="zh-CN"/>
              </w:rPr>
            </w:pPr>
            <w:r>
              <w:rPr>
                <w:rFonts w:hint="eastAsia"/>
              </w:rPr>
              <w:t>如：</w:t>
            </w:r>
            <w:r>
              <w:rPr>
                <w:rFonts w:hint="eastAsia"/>
              </w:rPr>
              <w:sym w:font="Wingdings" w:char="00FE"/>
            </w:r>
            <w:r>
              <w:rPr>
                <w:rFonts w:hint="eastAsia"/>
              </w:rPr>
              <w:t xml:space="preserve"> 管理手册第4.4章</w:t>
            </w:r>
            <w:r>
              <w:rPr>
                <w:rFonts w:hint="eastAsia"/>
                <w:lang w:eastAsia="zh-CN"/>
              </w:rPr>
              <w:t>、</w:t>
            </w:r>
            <w:r>
              <w:rPr/>
              <w:sym w:font="Wingdings" w:char="00A8"/>
            </w:r>
            <w:r>
              <w:rPr>
                <w:rFonts w:hint="eastAsia"/>
              </w:rPr>
              <w:t>《过程清单》</w:t>
            </w:r>
            <w:r>
              <w:rPr>
                <w:rFonts w:hint="eastAsia"/>
                <w:lang w:eastAsia="zh-CN"/>
              </w:rPr>
              <w:t>、</w:t>
            </w:r>
            <w:r>
              <w:rPr/>
              <w:sym w:font="Wingdings" w:char="00FE"/>
            </w:r>
            <w:r>
              <w:rPr>
                <w:rFonts w:hint="eastAsia"/>
                <w:lang w:eastAsia="zh-CN"/>
              </w:rPr>
              <w:t>《</w:t>
            </w:r>
            <w:r>
              <w:rPr>
                <w:rFonts w:hint="eastAsia"/>
              </w:rPr>
              <w:t>过程识别与分析表</w:t>
            </w:r>
            <w:r>
              <w:rPr>
                <w:rFonts w:hint="eastAsia"/>
                <w:lang w:eastAsia="zh-CN"/>
              </w:rPr>
              <w:t>》</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□设备维修   □人员培训 □PRP和OPRP、HACCP验证</w:t>
            </w:r>
            <w:r>
              <w:rPr>
                <w:rFonts w:hint="eastAsia"/>
                <w:highlight w:val="none"/>
              </w:rPr>
              <w:t xml:space="preserve"> </w:t>
            </w:r>
            <w:r>
              <w:rPr>
                <w:rFonts w:hint="eastAsia"/>
                <w:highlight w:val="none"/>
                <w:lang w:eastAsia="zh-CN"/>
              </w:rPr>
              <w:sym w:font="Wingdings 2" w:char="0052"/>
            </w:r>
            <w:r>
              <w:rPr>
                <w:rFonts w:hint="eastAsia"/>
                <w:highlight w:val="none"/>
              </w:rPr>
              <w:t>其他</w:t>
            </w:r>
            <w:r>
              <w:rPr>
                <w:rFonts w:hint="eastAsia"/>
                <w:highlight w:val="none"/>
                <w:lang w:eastAsia="zh-CN"/>
              </w:rPr>
              <w:t>——</w:t>
            </w:r>
            <w:r>
              <w:rPr>
                <w:rFonts w:hint="eastAsia"/>
                <w:highlight w:val="none"/>
                <w:u w:val="none"/>
                <w:lang w:val="en-US" w:eastAsia="zh-CN"/>
              </w:rPr>
              <w:t>无</w:t>
            </w:r>
            <w:r>
              <w:rPr>
                <w:rFonts w:hint="eastAsia"/>
                <w:highlight w:val="none"/>
                <w:u w:val="none"/>
              </w:rPr>
              <w:t xml:space="preserve">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领导作用与承诺</w:t>
            </w:r>
          </w:p>
        </w:tc>
        <w:tc>
          <w:tcPr>
            <w:tcW w:w="952" w:type="dxa"/>
            <w:gridSpan w:val="2"/>
            <w:vMerge w:val="restart"/>
            <w:shd w:val="clear" w:color="auto" w:fill="auto"/>
          </w:tcPr>
          <w:p>
            <w:r>
              <w:rPr>
                <w:rFonts w:hint="eastAsia"/>
              </w:rPr>
              <w:t>F5.1</w:t>
            </w:r>
          </w:p>
          <w:p>
            <w:r>
              <w:rPr>
                <w:rFonts w:hint="eastAsia"/>
              </w:rPr>
              <w:t>H</w:t>
            </w:r>
            <w:r>
              <w:t>5.1</w:t>
            </w:r>
          </w:p>
        </w:tc>
        <w:tc>
          <w:tcPr>
            <w:tcW w:w="761" w:type="dxa"/>
            <w:shd w:val="clear" w:color="auto" w:fill="auto"/>
          </w:tcPr>
          <w:p>
            <w:r>
              <w:rPr>
                <w:rFonts w:hint="eastAsia"/>
              </w:rPr>
              <w:t>文件名称</w:t>
            </w:r>
          </w:p>
        </w:tc>
        <w:tc>
          <w:tcPr>
            <w:tcW w:w="9367" w:type="dxa"/>
            <w:shd w:val="clear" w:color="auto" w:fill="auto"/>
          </w:tcPr>
          <w:p>
            <w:r>
              <w:rPr>
                <w:rFonts w:hint="eastAsia"/>
              </w:rPr>
              <w:t>如：管理手册第5.1章和“总经理岗位职责”</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食品安全方针</w:t>
            </w:r>
          </w:p>
        </w:tc>
        <w:tc>
          <w:tcPr>
            <w:tcW w:w="952" w:type="dxa"/>
            <w:gridSpan w:val="2"/>
            <w:vMerge w:val="restart"/>
            <w:shd w:val="clear" w:color="auto" w:fill="auto"/>
          </w:tcPr>
          <w:p>
            <w:r>
              <w:rPr>
                <w:rFonts w:hint="eastAsia"/>
              </w:rPr>
              <w:t>F5.2 </w:t>
            </w:r>
          </w:p>
          <w:p>
            <w:r>
              <w:rPr>
                <w:rFonts w:hint="eastAsia"/>
              </w:rPr>
              <w:t>H</w:t>
            </w:r>
            <w:r>
              <w:t>5.</w:t>
            </w:r>
            <w:r>
              <w:rPr>
                <w:rFonts w:hint="eastAsia"/>
              </w:rPr>
              <w:t>2</w:t>
            </w:r>
          </w:p>
        </w:tc>
        <w:tc>
          <w:tcPr>
            <w:tcW w:w="761" w:type="dxa"/>
            <w:shd w:val="clear" w:color="auto" w:fill="auto"/>
          </w:tcPr>
          <w:p>
            <w:r>
              <w:rPr>
                <w:rFonts w:hint="eastAsia"/>
              </w:rPr>
              <w:t>文件名称</w:t>
            </w:r>
          </w:p>
        </w:tc>
        <w:tc>
          <w:tcPr>
            <w:tcW w:w="9367" w:type="dxa"/>
            <w:shd w:val="clear" w:color="auto" w:fill="auto"/>
          </w:tcPr>
          <w:p>
            <w:pPr>
              <w:rPr>
                <w:rFonts w:hint="eastAsia"/>
                <w:lang w:eastAsia="zh-CN"/>
              </w:rPr>
            </w:pPr>
            <w:r>
              <w:rPr>
                <w:rFonts w:hint="eastAsia"/>
              </w:rPr>
              <w:t>如</w:t>
            </w:r>
            <w:r>
              <w:rPr>
                <w:rFonts w:hint="eastAsia"/>
                <w:color w:val="auto"/>
              </w:rPr>
              <w:t>：</w:t>
            </w:r>
            <w:r>
              <w:rPr>
                <w:color w:val="auto"/>
              </w:rPr>
              <w:sym w:font="Wingdings" w:char="00FE"/>
            </w:r>
            <w:r>
              <w:rPr>
                <w:rFonts w:hint="eastAsia"/>
                <w:color w:val="auto"/>
              </w:rPr>
              <w:t>管理手册第5.2</w:t>
            </w:r>
            <w:r>
              <w:rPr>
                <w:rFonts w:hint="eastAsia"/>
                <w:color w:val="auto"/>
                <w:lang w:val="en-US" w:eastAsia="zh-CN"/>
              </w:rPr>
              <w:t>条款</w:t>
            </w:r>
            <w:r>
              <w:rPr>
                <w:rFonts w:hint="eastAsia"/>
                <w:color w:val="auto"/>
                <w:lang w:eastAsia="zh-CN"/>
              </w:rPr>
              <w:t>、</w:t>
            </w:r>
            <w:bookmarkStart w:id="2" w:name="_Toc2553"/>
            <w:bookmarkStart w:id="3" w:name="_Toc12410"/>
            <w:r>
              <w:rPr>
                <w:color w:val="auto"/>
              </w:rPr>
              <w:sym w:font="Wingdings" w:char="00A8"/>
            </w:r>
            <w:r>
              <w:rPr>
                <w:rFonts w:hint="eastAsia"/>
                <w:color w:val="auto"/>
                <w:lang w:eastAsia="zh-CN"/>
              </w:rPr>
              <w:t>03 方针、目标颁布令</w:t>
            </w:r>
            <w:bookmarkEnd w:id="2"/>
            <w:bookmarkEnd w:id="3"/>
          </w:p>
          <w:p>
            <w:pPr>
              <w:rPr>
                <w:rFonts w:hint="eastAsia" w:eastAsia="宋体"/>
                <w:lang w:eastAsia="zh-CN"/>
              </w:rPr>
            </w:pP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u w:val="single"/>
              </w:rPr>
            </w:pPr>
            <w:r>
              <w:rPr>
                <w:rFonts w:hint="eastAsia"/>
                <w:color w:val="000000"/>
                <w:szCs w:val="21"/>
              </w:rPr>
              <w:t xml:space="preserve"> </w:t>
            </w:r>
            <w:r>
              <w:rPr>
                <w:rFonts w:hint="eastAsia"/>
              </w:rPr>
              <w:t>最高管理者制定了文件化的食品安全体系方针：</w:t>
            </w:r>
          </w:p>
          <w:p>
            <w:pPr>
              <w:autoSpaceDE w:val="0"/>
              <w:autoSpaceDN w:val="0"/>
              <w:spacing w:line="440" w:lineRule="exact"/>
              <w:rPr>
                <w:b/>
                <w:bCs/>
                <w:color w:val="000000"/>
                <w:szCs w:val="18"/>
                <w:u w:val="single"/>
              </w:rPr>
            </w:pPr>
            <w:r>
              <w:rPr>
                <w:rFonts w:hint="eastAsia"/>
                <w:u w:val="single"/>
              </w:rPr>
              <w:t xml:space="preserve">   </w:t>
            </w:r>
            <w:r>
              <w:rPr>
                <w:rFonts w:hint="eastAsia" w:ascii="宋体" w:hAnsi="宋体" w:cs="宋体"/>
                <w:b/>
                <w:bCs w:val="0"/>
                <w:szCs w:val="21"/>
                <w:u w:val="single"/>
              </w:rPr>
              <w:t>确保食品安全质量，持续增强顾客满意</w:t>
            </w:r>
            <w:r>
              <w:rPr>
                <w:rFonts w:hint="eastAsia"/>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highlight w:val="none"/>
              </w:rPr>
              <w:sym w:font="Wingdings" w:char="00A8"/>
            </w:r>
            <w:r>
              <w:rPr>
                <w:rFonts w:hint="eastAsia"/>
                <w:highlight w:val="none"/>
              </w:rPr>
              <w:t xml:space="preserve">展板  </w:t>
            </w:r>
            <w:r>
              <w:rPr>
                <w:rFonts w:hint="eastAsia"/>
                <w:highlight w:val="none"/>
              </w:rPr>
              <w:sym w:font="Wingdings" w:char="00A8"/>
            </w:r>
            <w:r>
              <w:rPr>
                <w:rFonts w:hint="eastAsia"/>
                <w:highlight w:val="none"/>
              </w:rPr>
              <w:t>标语</w:t>
            </w:r>
            <w:r>
              <w:rPr>
                <w:rFonts w:hint="eastAsia"/>
              </w:rPr>
              <w:t xml:space="preserve">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组织的角色、职责和权限</w:t>
            </w:r>
          </w:p>
          <w:p/>
        </w:tc>
        <w:tc>
          <w:tcPr>
            <w:tcW w:w="952" w:type="dxa"/>
            <w:gridSpan w:val="2"/>
            <w:vMerge w:val="restart"/>
            <w:shd w:val="clear" w:color="auto" w:fill="auto"/>
          </w:tcPr>
          <w:p>
            <w:r>
              <w:rPr>
                <w:rFonts w:hint="eastAsia"/>
              </w:rPr>
              <w:t>F5.3  </w:t>
            </w:r>
          </w:p>
          <w:p>
            <w:r>
              <w:rPr>
                <w:rFonts w:hint="eastAsia"/>
              </w:rPr>
              <w:t>H</w:t>
            </w:r>
            <w:r>
              <w:t>5.3</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sym w:font="Wingdings" w:char="00FE"/>
            </w:r>
            <w:r>
              <w:rPr>
                <w:rFonts w:hint="eastAsia"/>
              </w:rPr>
              <w:t>管理手册第5.3章</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0"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vAlign w:val="top"/>
                </w:tcPr>
                <w:p>
                  <w:pPr>
                    <w:rPr>
                      <w:rFonts w:ascii="Times New Roman" w:hAnsi="Times New Roman" w:eastAsia="宋体" w:cs="Times New Roman"/>
                      <w:kern w:val="2"/>
                      <w:sz w:val="21"/>
                      <w:lang w:val="en-US" w:eastAsia="zh-CN" w:bidi="ar-SA"/>
                    </w:rPr>
                  </w:pPr>
                  <w:r>
                    <w:rPr>
                      <w:rFonts w:hint="eastAsia"/>
                    </w:rPr>
                    <w:t>食品安全小组</w:t>
                  </w:r>
                </w:p>
              </w:tc>
              <w:tc>
                <w:tcPr>
                  <w:tcW w:w="2261" w:type="dxa"/>
                  <w:vAlign w:val="top"/>
                </w:tcPr>
                <w:p>
                  <w:pPr>
                    <w:rPr>
                      <w:rFonts w:ascii="Times New Roman" w:hAnsi="Times New Roman" w:eastAsia="宋体" w:cs="Times New Roman"/>
                      <w:kern w:val="2"/>
                      <w:sz w:val="21"/>
                      <w:lang w:val="en-US" w:eastAsia="zh-CN" w:bidi="ar-SA"/>
                    </w:rPr>
                  </w:pPr>
                  <w:r>
                    <w:rPr>
                      <w:rFonts w:hint="eastAsia"/>
                    </w:rPr>
                    <w:t>PRP和HACCP实施</w:t>
                  </w:r>
                </w:p>
              </w:tc>
              <w:tc>
                <w:tcPr>
                  <w:tcW w:w="226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内部</w:t>
                  </w:r>
                  <w:r>
                    <w:t>审核</w:t>
                  </w:r>
                </w:p>
              </w:tc>
              <w:tc>
                <w:tcPr>
                  <w:tcW w:w="226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运营部</w:t>
                  </w:r>
                </w:p>
              </w:tc>
              <w:tc>
                <w:tcPr>
                  <w:tcW w:w="2261" w:type="dxa"/>
                  <w:vAlign w:val="top"/>
                </w:tcPr>
                <w:p>
                  <w:pPr>
                    <w:rPr>
                      <w:rFonts w:ascii="Times New Roman" w:hAnsi="Times New Roman" w:eastAsia="宋体" w:cs="Times New Roman"/>
                      <w:kern w:val="2"/>
                      <w:sz w:val="21"/>
                      <w:lang w:val="en-US" w:eastAsia="zh-CN" w:bidi="ar-SA"/>
                    </w:rPr>
                  </w:pPr>
                  <w:r>
                    <w:rPr>
                      <w:rFonts w:hint="eastAsia"/>
                    </w:rPr>
                    <w:t>FSMS验证和确认</w:t>
                  </w:r>
                </w:p>
              </w:tc>
              <w:tc>
                <w:tcPr>
                  <w:tcW w:w="2261" w:type="dxa"/>
                  <w:vAlign w:val="top"/>
                </w:tcPr>
                <w:p>
                  <w:pPr>
                    <w:rPr>
                      <w:rFonts w:ascii="Times New Roman" w:hAnsi="Times New Roman" w:eastAsia="宋体" w:cs="Times New Roman"/>
                      <w:kern w:val="2"/>
                      <w:sz w:val="21"/>
                      <w:lang w:val="en-US" w:eastAsia="zh-CN" w:bidi="ar-SA"/>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w:t>
                  </w:r>
                  <w:r>
                    <w:t>管理</w:t>
                  </w:r>
                </w:p>
              </w:tc>
              <w:tc>
                <w:tcPr>
                  <w:tcW w:w="226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综合部</w:t>
                  </w:r>
                </w:p>
              </w:tc>
              <w:tc>
                <w:tcPr>
                  <w:tcW w:w="2261" w:type="dxa"/>
                  <w:vAlign w:val="top"/>
                </w:tcPr>
                <w:p>
                  <w:pPr>
                    <w:rPr>
                      <w:rFonts w:ascii="Times New Roman" w:hAnsi="Times New Roman" w:eastAsia="宋体" w:cs="Times New Roman"/>
                      <w:kern w:val="2"/>
                      <w:sz w:val="21"/>
                      <w:lang w:val="en-US" w:eastAsia="zh-CN" w:bidi="ar-SA"/>
                    </w:rPr>
                  </w:pPr>
                  <w:r>
                    <w:rPr>
                      <w:rFonts w:hint="eastAsia"/>
                    </w:rPr>
                    <w:t>基础设施</w:t>
                  </w:r>
                </w:p>
              </w:tc>
              <w:tc>
                <w:tcPr>
                  <w:tcW w:w="226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原材料</w:t>
                  </w:r>
                  <w:r>
                    <w:t>检验</w:t>
                  </w:r>
                </w:p>
              </w:tc>
              <w:tc>
                <w:tcPr>
                  <w:tcW w:w="2261" w:type="dxa"/>
                </w:tcPr>
                <w:p>
                  <w:r>
                    <w:rPr>
                      <w:rFonts w:hint="eastAsia"/>
                    </w:rPr>
                    <w:t>餐饮</w:t>
                  </w:r>
                  <w:r>
                    <w:t>管理部</w:t>
                  </w:r>
                </w:p>
              </w:tc>
              <w:tc>
                <w:tcPr>
                  <w:tcW w:w="2261" w:type="dxa"/>
                </w:tcPr>
                <w:p>
                  <w:pPr>
                    <w:rPr>
                      <w:highlight w:val="yellow"/>
                    </w:rPr>
                  </w:pPr>
                </w:p>
              </w:tc>
              <w:tc>
                <w:tcPr>
                  <w:tcW w:w="2261" w:type="dxa"/>
                </w:tcPr>
                <w:p>
                  <w:pPr>
                    <w:rPr>
                      <w:highlight w:val="yellow"/>
                    </w:rPr>
                  </w:p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胡泽慧 </w:t>
            </w:r>
            <w:r>
              <w:rPr>
                <w:rFonts w:hint="eastAsia"/>
                <w:u w:val="single"/>
              </w:rPr>
              <w:t xml:space="preserve">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pPr>
              <w:rPr>
                <w:color w:val="000000"/>
                <w:szCs w:val="21"/>
              </w:rPr>
            </w:pPr>
            <w:r>
              <w:rPr>
                <w:rFonts w:hint="eastAsia"/>
                <w:color w:val="000000"/>
                <w:szCs w:val="21"/>
              </w:rPr>
              <w:t>应对风险和机遇的措施</w:t>
            </w:r>
          </w:p>
          <w:p/>
        </w:tc>
        <w:tc>
          <w:tcPr>
            <w:tcW w:w="952" w:type="dxa"/>
            <w:gridSpan w:val="2"/>
            <w:vMerge w:val="restart"/>
            <w:shd w:val="clear" w:color="auto" w:fill="auto"/>
          </w:tcPr>
          <w:p>
            <w:r>
              <w:rPr>
                <w:rFonts w:hint="eastAsia"/>
                <w:color w:val="000000"/>
                <w:szCs w:val="21"/>
              </w:rPr>
              <w:t>F6.1.1</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highlight w:val="none"/>
              </w:rPr>
              <w:sym w:font="Wingdings" w:char="00FE"/>
            </w:r>
            <w:r>
              <w:rPr>
                <w:rFonts w:hint="eastAsia"/>
                <w:highlight w:val="none"/>
              </w:rPr>
              <w:t>手册第6.1条款</w:t>
            </w:r>
          </w:p>
        </w:tc>
        <w:tc>
          <w:tcPr>
            <w:tcW w:w="1590" w:type="dxa"/>
            <w:gridSpan w:val="2"/>
            <w:vMerge w:val="restart"/>
            <w:shd w:val="clear" w:color="auto" w:fill="auto"/>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continue"/>
            <w:shd w:val="clear" w:color="auto" w:fill="auto"/>
          </w:tcPr>
          <w:p/>
        </w:tc>
        <w:tc>
          <w:tcPr>
            <w:tcW w:w="952" w:type="dxa"/>
            <w:gridSpan w:val="2"/>
            <w:vMerge w:val="continue"/>
            <w:shd w:val="clear" w:color="auto" w:fill="auto"/>
          </w:tcPr>
          <w:p>
            <w:pPr>
              <w:rPr>
                <w:color w:val="000000"/>
                <w:szCs w:val="21"/>
              </w:rPr>
            </w:pPr>
          </w:p>
        </w:tc>
        <w:tc>
          <w:tcPr>
            <w:tcW w:w="761" w:type="dxa"/>
            <w:shd w:val="clear" w:color="auto" w:fill="auto"/>
          </w:tcPr>
          <w:p>
            <w:r>
              <w:rPr>
                <w:rFonts w:hint="eastAsia"/>
              </w:rPr>
              <w:t>运行证据</w:t>
            </w:r>
          </w:p>
        </w:tc>
        <w:tc>
          <w:tcPr>
            <w:tcW w:w="9367" w:type="dxa"/>
            <w:shd w:val="clear" w:color="auto" w:fill="auto"/>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rFonts w:hint="default" w:eastAsia="宋体"/>
                      <w:highlight w:val="none"/>
                      <w:lang w:val="en-US" w:eastAsia="zh-CN"/>
                    </w:rPr>
                  </w:pPr>
                  <w:r>
                    <w:rPr>
                      <w:rFonts w:hint="eastAsia"/>
                      <w:highlight w:val="none"/>
                    </w:rPr>
                    <w:t>人员素质参差不齐，食品安全意识不强，</w:t>
                  </w:r>
                  <w:r>
                    <w:rPr>
                      <w:rFonts w:hint="eastAsia"/>
                      <w:highlight w:val="none"/>
                      <w:lang w:val="en-US" w:eastAsia="zh-CN"/>
                    </w:rPr>
                    <w:t>人员失误会导致食品安全事故</w:t>
                  </w:r>
                </w:p>
              </w:tc>
              <w:tc>
                <w:tcPr>
                  <w:tcW w:w="3421" w:type="dxa"/>
                  <w:vAlign w:val="center"/>
                </w:tcPr>
                <w:p>
                  <w:pPr>
                    <w:widowControl/>
                    <w:numPr>
                      <w:ilvl w:val="0"/>
                      <w:numId w:val="1"/>
                    </w:numPr>
                    <w:jc w:val="left"/>
                    <w:textAlignment w:val="center"/>
                    <w:rPr>
                      <w:rFonts w:hint="default"/>
                      <w:lang w:val="en-US" w:eastAsia="zh-CN"/>
                    </w:rPr>
                  </w:pPr>
                  <w:r>
                    <w:rPr>
                      <w:rFonts w:hint="eastAsia"/>
                      <w:lang w:val="en-US" w:eastAsia="zh-CN"/>
                    </w:rPr>
                    <w:t>通过培训，让人员提升食品安全意识；</w:t>
                  </w:r>
                </w:p>
                <w:p>
                  <w:pPr>
                    <w:pStyle w:val="2"/>
                    <w:numPr>
                      <w:ilvl w:val="0"/>
                      <w:numId w:val="1"/>
                    </w:numPr>
                    <w:ind w:left="0" w:leftChars="0" w:firstLine="0" w:firstLineChars="0"/>
                    <w:rPr>
                      <w:rFonts w:hint="default"/>
                      <w:lang w:val="en-US" w:eastAsia="zh-CN"/>
                    </w:rPr>
                  </w:pPr>
                  <w:r>
                    <w:rPr>
                      <w:rFonts w:hint="eastAsia"/>
                      <w:lang w:val="en-US" w:eastAsia="zh-CN"/>
                    </w:rPr>
                    <w:t>每年开展各种应急演练</w:t>
                  </w:r>
                </w:p>
              </w:tc>
              <w:tc>
                <w:tcPr>
                  <w:tcW w:w="2080" w:type="dxa"/>
                </w:tcPr>
                <w:p>
                  <w:pPr>
                    <w:rPr>
                      <w:rFonts w:ascii="宋体" w:hAnsi="宋体" w:cs="宋体"/>
                      <w:color w:val="000000"/>
                      <w:kern w:val="0"/>
                      <w:sz w:val="20"/>
                      <w:highlight w:val="none"/>
                      <w:lang w:bidi="ar"/>
                    </w:rPr>
                  </w:pPr>
                  <w:r>
                    <w:rPr>
                      <w:rFonts w:hint="eastAsia" w:ascii="宋体" w:hAnsi="宋体" w:cs="宋体"/>
                      <w:color w:val="000000"/>
                      <w:kern w:val="0"/>
                      <w:sz w:val="20"/>
                      <w:highlight w:val="none"/>
                      <w:lang w:bidi="ar"/>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hint="default" w:ascii="宋体" w:hAnsi="宋体" w:eastAsia="宋体" w:cs="宋体"/>
                      <w:color w:val="000000"/>
                      <w:sz w:val="20"/>
                      <w:highlight w:val="none"/>
                      <w:lang w:val="en-US" w:eastAsia="zh-CN"/>
                    </w:rPr>
                  </w:pPr>
                  <w:r>
                    <w:rPr>
                      <w:rFonts w:hint="eastAsia" w:ascii="宋体" w:hAnsi="宋体" w:cs="宋体"/>
                      <w:color w:val="000000"/>
                      <w:sz w:val="20"/>
                      <w:highlight w:val="none"/>
                      <w:lang w:val="en-US" w:eastAsia="zh-CN"/>
                    </w:rPr>
                    <w:t>通过建立体系，提升管理能力；开拓市场，赢得更过的客户</w:t>
                  </w:r>
                </w:p>
              </w:tc>
              <w:tc>
                <w:tcPr>
                  <w:tcW w:w="3760" w:type="dxa"/>
                </w:tcPr>
                <w:p>
                  <w:pPr>
                    <w:numPr>
                      <w:ilvl w:val="0"/>
                      <w:numId w:val="2"/>
                    </w:numPr>
                    <w:rPr>
                      <w:rFonts w:hint="default"/>
                      <w:lang w:val="en-US" w:eastAsia="zh-CN"/>
                    </w:rPr>
                  </w:pPr>
                  <w:r>
                    <w:rPr>
                      <w:rFonts w:hint="eastAsia"/>
                      <w:lang w:val="en-US" w:eastAsia="zh-CN"/>
                    </w:rPr>
                    <w:t>不断提升管理体系；加强人员食品安全方面的提升；</w:t>
                  </w:r>
                </w:p>
                <w:p>
                  <w:pPr>
                    <w:pStyle w:val="2"/>
                    <w:numPr>
                      <w:ilvl w:val="0"/>
                      <w:numId w:val="2"/>
                    </w:numPr>
                    <w:ind w:left="0" w:leftChars="0" w:firstLine="0" w:firstLineChars="0"/>
                    <w:rPr>
                      <w:rFonts w:hint="default"/>
                      <w:lang w:val="en-US" w:eastAsia="zh-CN"/>
                    </w:rPr>
                  </w:pPr>
                  <w:r>
                    <w:rPr>
                      <w:rFonts w:hint="eastAsia"/>
                      <w:lang w:val="en-US" w:eastAsia="zh-CN"/>
                    </w:rPr>
                    <w:t>运用多年的餐饮管理经验，结合标准化管理；</w:t>
                  </w:r>
                </w:p>
              </w:tc>
              <w:tc>
                <w:tcPr>
                  <w:tcW w:w="2071"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highlight w:val="yellow"/>
                    </w:rPr>
                  </w:pPr>
                </w:p>
              </w:tc>
              <w:tc>
                <w:tcPr>
                  <w:tcW w:w="3760" w:type="dxa"/>
                </w:tcPr>
                <w:p>
                  <w:pPr>
                    <w:rPr>
                      <w:highlight w:val="yellow"/>
                    </w:rPr>
                  </w:pPr>
                </w:p>
              </w:tc>
              <w:tc>
                <w:tcPr>
                  <w:tcW w:w="207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停天然气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r>
              <w:rPr>
                <w:rFonts w:hint="eastAsia"/>
                <w:u w:val="single"/>
                <w:lang w:val="en-US" w:eastAsia="zh-CN"/>
              </w:rPr>
              <w:t xml:space="preserve">  </w:t>
            </w:r>
            <w:r>
              <w:rPr>
                <w:rFonts w:hint="eastAsia"/>
                <w:u w:val="single"/>
              </w:rPr>
              <w:t xml:space="preserve">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044" w:type="dxa"/>
            <w:gridSpan w:val="2"/>
            <w:vMerge w:val="continue"/>
            <w:shd w:val="clear" w:color="auto" w:fill="auto"/>
          </w:tcPr>
          <w:p/>
        </w:tc>
        <w:tc>
          <w:tcPr>
            <w:tcW w:w="952" w:type="dxa"/>
            <w:gridSpan w:val="2"/>
            <w:shd w:val="clear" w:color="auto" w:fill="auto"/>
          </w:tcPr>
          <w:p>
            <w:r>
              <w:rPr>
                <w:rFonts w:hint="eastAsia"/>
                <w:color w:val="000000"/>
                <w:szCs w:val="21"/>
              </w:rPr>
              <w:t>F6.1.2</w:t>
            </w:r>
          </w:p>
        </w:tc>
        <w:tc>
          <w:tcPr>
            <w:tcW w:w="761" w:type="dxa"/>
            <w:shd w:val="clear" w:color="auto" w:fill="auto"/>
          </w:tcPr>
          <w:p>
            <w:r>
              <w:rPr>
                <w:rFonts w:hint="eastAsia"/>
              </w:rPr>
              <w:t>运行证据</w:t>
            </w:r>
          </w:p>
        </w:tc>
        <w:tc>
          <w:tcPr>
            <w:tcW w:w="9367" w:type="dxa"/>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highlight w:val="none"/>
              </w:rPr>
            </w:pPr>
            <w:r>
              <w:rPr>
                <w:rFonts w:hint="eastAsia" w:ascii="CIDFont+F5" w:hAnsi="CIDFont+F5" w:eastAsia="CIDFont+F5"/>
                <w:highlight w:val="none"/>
              </w:rPr>
              <w:t>a) 解决这些风险和机遇的行动;——企业提供了《风险和机遇评估分析及措施表》</w:t>
            </w:r>
          </w:p>
          <w:p>
            <w:pPr>
              <w:jc w:val="left"/>
              <w:rPr>
                <w:rFonts w:ascii="CIDFont+F5" w:hAnsi="CIDFont+F5" w:eastAsia="CIDFont+F5"/>
                <w:highlight w:val="none"/>
              </w:rPr>
            </w:pPr>
            <w:r>
              <w:rPr>
                <w:rFonts w:hint="eastAsia" w:ascii="CIDFont+F5" w:hAnsi="CIDFont+F5" w:eastAsia="CIDFont+F5"/>
                <w:highlight w:val="none"/>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044" w:type="dxa"/>
            <w:gridSpan w:val="2"/>
            <w:vMerge w:val="continue"/>
            <w:shd w:val="clear" w:color="auto" w:fill="auto"/>
          </w:tcPr>
          <w:p/>
        </w:tc>
        <w:tc>
          <w:tcPr>
            <w:tcW w:w="952" w:type="dxa"/>
            <w:gridSpan w:val="2"/>
            <w:shd w:val="clear" w:color="auto" w:fill="auto"/>
          </w:tcPr>
          <w:p>
            <w:r>
              <w:rPr>
                <w:rFonts w:hint="eastAsia"/>
                <w:color w:val="000000"/>
                <w:szCs w:val="21"/>
              </w:rPr>
              <w:t>F6.1.3</w:t>
            </w:r>
          </w:p>
        </w:tc>
        <w:tc>
          <w:tcPr>
            <w:tcW w:w="761" w:type="dxa"/>
            <w:shd w:val="clear" w:color="auto" w:fill="auto"/>
          </w:tcPr>
          <w:p>
            <w:r>
              <w:rPr>
                <w:rFonts w:hint="eastAsia"/>
              </w:rPr>
              <w:t>运行证据</w:t>
            </w:r>
          </w:p>
        </w:tc>
        <w:tc>
          <w:tcPr>
            <w:tcW w:w="9367"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color w:val="000000"/>
                <w:szCs w:val="21"/>
              </w:rPr>
              <w:t>食品安全管理体系目标及其实现的策划</w:t>
            </w:r>
          </w:p>
        </w:tc>
        <w:tc>
          <w:tcPr>
            <w:tcW w:w="952" w:type="dxa"/>
            <w:gridSpan w:val="2"/>
            <w:vMerge w:val="restart"/>
            <w:shd w:val="clear" w:color="auto" w:fill="auto"/>
          </w:tcPr>
          <w:p>
            <w:r>
              <w:rPr>
                <w:rFonts w:hint="eastAsia"/>
                <w:color w:val="000000"/>
                <w:szCs w:val="21"/>
              </w:rPr>
              <w:t>F6.2</w:t>
            </w:r>
          </w:p>
        </w:tc>
        <w:tc>
          <w:tcPr>
            <w:tcW w:w="761" w:type="dxa"/>
            <w:shd w:val="clear" w:color="auto" w:fill="auto"/>
          </w:tcPr>
          <w:p>
            <w:r>
              <w:rPr>
                <w:rFonts w:hint="eastAsia"/>
              </w:rPr>
              <w:t>文件名称</w:t>
            </w:r>
          </w:p>
        </w:tc>
        <w:tc>
          <w:tcPr>
            <w:tcW w:w="9367" w:type="dxa"/>
            <w:shd w:val="clear" w:color="auto" w:fill="auto"/>
          </w:tcPr>
          <w:p>
            <w:pPr>
              <w:rPr>
                <w:highlight w:val="yellow"/>
              </w:rPr>
            </w:pPr>
            <w:r>
              <w:rPr>
                <w:rFonts w:hint="eastAsia"/>
              </w:rPr>
              <w:t>如：</w:t>
            </w:r>
            <w:r>
              <w:rPr>
                <w:rFonts w:hint="eastAsia"/>
              </w:rPr>
              <w:sym w:font="Wingdings" w:char="00FE"/>
            </w:r>
            <w:r>
              <w:rPr>
                <w:rFonts w:hint="eastAsia"/>
              </w:rPr>
              <w:t xml:space="preserve">手册第6.2条款 </w:t>
            </w:r>
            <w:r>
              <w:rPr>
                <w:rFonts w:hint="eastAsia"/>
              </w:rPr>
              <w:sym w:font="Wingdings" w:char="00FE"/>
            </w:r>
            <w:r>
              <w:rPr>
                <w:rFonts w:hint="eastAsia"/>
              </w:rPr>
              <w:t>《食品安全目标达成统计表》、《分解目标》</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144"/>
              <w:gridCol w:w="265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144" w:type="dxa"/>
                  <w:shd w:val="clear" w:color="auto" w:fill="auto"/>
                </w:tcPr>
                <w:p>
                  <w:pPr>
                    <w:rPr>
                      <w:rFonts w:ascii="宋体" w:hAnsi="宋体"/>
                      <w:szCs w:val="24"/>
                    </w:rPr>
                  </w:pPr>
                  <w:r>
                    <w:rPr>
                      <w:rFonts w:hint="eastAsia" w:ascii="宋体" w:hAnsi="宋体"/>
                      <w:szCs w:val="24"/>
                    </w:rPr>
                    <w:t>考核频次</w:t>
                  </w:r>
                </w:p>
              </w:tc>
              <w:tc>
                <w:tcPr>
                  <w:tcW w:w="2651" w:type="dxa"/>
                  <w:shd w:val="clear" w:color="auto" w:fill="auto"/>
                </w:tcPr>
                <w:p>
                  <w:pPr>
                    <w:rPr>
                      <w:rFonts w:ascii="宋体" w:hAnsi="宋体"/>
                      <w:szCs w:val="24"/>
                    </w:rPr>
                  </w:pPr>
                  <w:r>
                    <w:rPr>
                      <w:rFonts w:hint="eastAsia"/>
                      <w:color w:val="000000"/>
                      <w:szCs w:val="18"/>
                    </w:rPr>
                    <w:t>计算方法</w:t>
                  </w:r>
                </w:p>
              </w:tc>
              <w:tc>
                <w:tcPr>
                  <w:tcW w:w="2250" w:type="dxa"/>
                  <w:shd w:val="clear" w:color="auto" w:fill="auto"/>
                </w:tcPr>
                <w:p>
                  <w:pPr>
                    <w:rPr>
                      <w:rFonts w:ascii="宋体" w:hAnsi="宋体"/>
                      <w:szCs w:val="24"/>
                    </w:rPr>
                  </w:pPr>
                  <w:r>
                    <w:rPr>
                      <w:rFonts w:hint="eastAsia" w:ascii="宋体" w:hAnsi="宋体"/>
                      <w:szCs w:val="24"/>
                    </w:rPr>
                    <w:t>目标实际完成（</w:t>
                  </w:r>
                  <w:r>
                    <w:rPr>
                      <w:rFonts w:hint="eastAsia" w:ascii="宋体" w:hAnsi="宋体"/>
                      <w:szCs w:val="24"/>
                      <w:lang w:val="en-US" w:eastAsia="zh-CN"/>
                    </w:rPr>
                    <w:t>2020.10-2021.10</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食品安全事故</w:t>
                  </w:r>
                </w:p>
              </w:tc>
              <w:tc>
                <w:tcPr>
                  <w:tcW w:w="1144" w:type="dxa"/>
                  <w:shd w:val="clear" w:color="auto" w:fill="auto"/>
                </w:tcPr>
                <w:p>
                  <w:pPr>
                    <w:widowControl/>
                    <w:spacing w:before="40"/>
                    <w:jc w:val="left"/>
                    <w:rPr>
                      <w:rFonts w:hint="eastAsia" w:eastAsia="宋体"/>
                      <w:color w:val="000000"/>
                      <w:szCs w:val="21"/>
                      <w:lang w:eastAsia="zh-CN"/>
                    </w:rPr>
                  </w:pPr>
                  <w:r>
                    <w:rPr>
                      <w:rFonts w:hint="eastAsia"/>
                      <w:color w:val="000000"/>
                      <w:szCs w:val="21"/>
                      <w:lang w:val="en-US" w:eastAsia="zh-CN"/>
                    </w:rPr>
                    <w:t>年度</w:t>
                  </w:r>
                </w:p>
              </w:tc>
              <w:tc>
                <w:tcPr>
                  <w:tcW w:w="2651" w:type="dxa"/>
                  <w:shd w:val="clear" w:color="auto" w:fill="auto"/>
                  <w:vAlign w:val="top"/>
                </w:tcPr>
                <w:p>
                  <w:pPr>
                    <w:rPr>
                      <w:rFonts w:hint="eastAsia" w:ascii="Times New Roman" w:hAnsi="Times New Roman" w:eastAsia="宋体" w:cs="Times New Roman"/>
                      <w:bCs/>
                      <w:kern w:val="2"/>
                      <w:sz w:val="21"/>
                      <w:szCs w:val="21"/>
                      <w:lang w:val="en-US" w:eastAsia="zh-CN" w:bidi="ar-SA"/>
                    </w:rPr>
                  </w:pPr>
                  <w:r>
                    <w:rPr>
                      <w:rFonts w:hint="eastAsia"/>
                      <w:bCs/>
                      <w:sz w:val="21"/>
                      <w:szCs w:val="21"/>
                    </w:rPr>
                    <w:t>实际发生次数</w:t>
                  </w:r>
                </w:p>
              </w:tc>
              <w:tc>
                <w:tcPr>
                  <w:tcW w:w="2250" w:type="dxa"/>
                  <w:shd w:val="clear" w:color="auto" w:fill="auto"/>
                </w:tcPr>
                <w:p>
                  <w:pPr>
                    <w:widowControl/>
                    <w:spacing w:before="40"/>
                    <w:jc w:val="left"/>
                    <w:rPr>
                      <w:color w:val="000000"/>
                      <w:szCs w:val="21"/>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关键控制点监控合格率</w:t>
                  </w:r>
                </w:p>
              </w:tc>
              <w:tc>
                <w:tcPr>
                  <w:tcW w:w="1144" w:type="dxa"/>
                  <w:shd w:val="clear" w:color="auto" w:fill="auto"/>
                  <w:vAlign w:val="center"/>
                </w:tcPr>
                <w:p>
                  <w:pPr>
                    <w:rPr>
                      <w:rFonts w:hint="eastAsia" w:ascii="宋体" w:hAnsi="宋体" w:eastAsia="宋体"/>
                      <w:szCs w:val="24"/>
                      <w:highlight w:val="none"/>
                      <w:lang w:eastAsia="zh-CN"/>
                    </w:rPr>
                  </w:pPr>
                  <w:r>
                    <w:rPr>
                      <w:rFonts w:hint="eastAsia" w:ascii="宋体" w:hAnsi="宋体"/>
                      <w:szCs w:val="24"/>
                      <w:highlight w:val="none"/>
                      <w:lang w:val="en-US" w:eastAsia="zh-CN"/>
                    </w:rPr>
                    <w:t>年度</w:t>
                  </w:r>
                </w:p>
              </w:tc>
              <w:tc>
                <w:tcPr>
                  <w:tcW w:w="2651" w:type="dxa"/>
                  <w:shd w:val="clear" w:color="auto" w:fill="auto"/>
                  <w:vAlign w:val="top"/>
                </w:tcPr>
                <w:p>
                  <w:pPr>
                    <w:rPr>
                      <w:rFonts w:hint="default" w:ascii="Times New Roman" w:hAnsi="Times New Roman" w:eastAsia="宋体" w:cs="Times New Roman"/>
                      <w:bCs/>
                      <w:kern w:val="2"/>
                      <w:sz w:val="21"/>
                      <w:szCs w:val="21"/>
                      <w:lang w:val="en-US" w:eastAsia="zh-CN" w:bidi="ar-SA"/>
                    </w:rPr>
                  </w:pPr>
                  <w:r>
                    <w:rPr>
                      <w:rFonts w:hint="eastAsia"/>
                      <w:bCs/>
                      <w:sz w:val="21"/>
                      <w:szCs w:val="21"/>
                    </w:rPr>
                    <w:t>关键控制点监控合格率=（对CCP点的控制抽查合格数/总CCP点的控制抽查合格数）*100%</w:t>
                  </w:r>
                </w:p>
              </w:tc>
              <w:tc>
                <w:tcPr>
                  <w:tcW w:w="2250" w:type="dxa"/>
                  <w:shd w:val="clear" w:color="auto" w:fill="auto"/>
                  <w:vAlign w:val="center"/>
                </w:tcPr>
                <w:p>
                  <w:pPr>
                    <w:rPr>
                      <w:rFonts w:ascii="宋体" w:hAnsi="宋体"/>
                      <w:highlight w:val="none"/>
                    </w:rPr>
                  </w:pPr>
                  <w:r>
                    <w:rPr>
                      <w:rFonts w:ascii="宋体" w:hAnsi="宋体"/>
                      <w:highlight w:val="none"/>
                    </w:rPr>
                    <w:t>100</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tcPr>
                <w:p>
                  <w:pPr>
                    <w:rPr>
                      <w:rFonts w:hint="eastAsia"/>
                      <w:szCs w:val="21"/>
                      <w:highlight w:val="yellow"/>
                    </w:rPr>
                  </w:pPr>
                </w:p>
              </w:tc>
              <w:tc>
                <w:tcPr>
                  <w:tcW w:w="1144" w:type="dxa"/>
                  <w:shd w:val="clear" w:color="auto" w:fill="auto"/>
                  <w:vAlign w:val="center"/>
                </w:tcPr>
                <w:p>
                  <w:pPr>
                    <w:rPr>
                      <w:rFonts w:hint="eastAsia" w:ascii="宋体" w:hAnsi="宋体"/>
                      <w:szCs w:val="24"/>
                      <w:highlight w:val="yellow"/>
                      <w:lang w:val="en-US" w:eastAsia="zh-CN"/>
                    </w:rPr>
                  </w:pPr>
                </w:p>
              </w:tc>
              <w:tc>
                <w:tcPr>
                  <w:tcW w:w="2651" w:type="dxa"/>
                  <w:shd w:val="clear" w:color="auto" w:fill="auto"/>
                  <w:vAlign w:val="center"/>
                </w:tcPr>
                <w:p>
                  <w:pPr>
                    <w:rPr>
                      <w:rFonts w:hint="eastAsia" w:ascii="宋体" w:hAnsi="宋体"/>
                      <w:szCs w:val="24"/>
                      <w:highlight w:val="yellow"/>
                    </w:rPr>
                  </w:pPr>
                </w:p>
              </w:tc>
              <w:tc>
                <w:tcPr>
                  <w:tcW w:w="2250" w:type="dxa"/>
                  <w:shd w:val="clear" w:color="auto" w:fill="auto"/>
                  <w:vAlign w:val="center"/>
                </w:tcPr>
                <w:p>
                  <w:pPr>
                    <w:rPr>
                      <w:rFonts w:ascii="宋体" w:hAnsi="宋体"/>
                      <w:highlight w:val="yellow"/>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pPr>
              <w:rPr>
                <w:color w:val="000000"/>
                <w:szCs w:val="21"/>
              </w:rPr>
            </w:pPr>
            <w:r>
              <w:rPr>
                <w:rFonts w:hint="eastAsia"/>
                <w:color w:val="000000"/>
                <w:szCs w:val="21"/>
              </w:rPr>
              <w:t>变更的策划</w:t>
            </w:r>
          </w:p>
          <w:p/>
        </w:tc>
        <w:tc>
          <w:tcPr>
            <w:tcW w:w="952" w:type="dxa"/>
            <w:gridSpan w:val="2"/>
            <w:vMerge w:val="restart"/>
            <w:shd w:val="clear" w:color="auto" w:fill="auto"/>
          </w:tcPr>
          <w:p>
            <w:r>
              <w:rPr>
                <w:rFonts w:hint="eastAsia"/>
                <w:color w:val="000000"/>
                <w:szCs w:val="21"/>
              </w:rPr>
              <w:t>F6.3</w:t>
            </w:r>
          </w:p>
        </w:tc>
        <w:tc>
          <w:tcPr>
            <w:tcW w:w="761" w:type="dxa"/>
            <w:shd w:val="clear" w:color="auto" w:fill="auto"/>
          </w:tcPr>
          <w:p>
            <w:r>
              <w:rPr>
                <w:rFonts w:hint="eastAsia"/>
              </w:rPr>
              <w:t>文件名称</w:t>
            </w:r>
          </w:p>
        </w:tc>
        <w:tc>
          <w:tcPr>
            <w:tcW w:w="9367" w:type="dxa"/>
            <w:shd w:val="clear" w:color="auto" w:fill="auto"/>
          </w:tcPr>
          <w:p>
            <w:r>
              <w:rPr>
                <w:rFonts w:hint="eastAsia"/>
              </w:rPr>
              <w:t>如：手册第6.3条款、</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default" w:eastAsia="宋体"/>
                <w:lang w:val="en-US" w:eastAsia="zh-CN"/>
              </w:rPr>
            </w:pPr>
            <w:r>
              <w:rPr>
                <w:rFonts w:hint="eastAsia"/>
              </w:rPr>
              <w:t>□主要设备设施 □主要检测设备 ☑其他</w:t>
            </w:r>
            <w:r>
              <w:rPr>
                <w:rFonts w:hint="eastAsia"/>
                <w:lang w:val="en-US" w:eastAsia="zh-CN"/>
              </w:rPr>
              <w:t>_近一年以来未发生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pPr>
                    <w:rPr>
                      <w:rFonts w:hint="default" w:eastAsia="宋体"/>
                      <w:lang w:val="en-US" w:eastAsia="zh-CN"/>
                    </w:rPr>
                  </w:pP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pPr>
                    <w:rPr>
                      <w:rFonts w:hint="default" w:eastAsia="宋体"/>
                      <w:lang w:val="en-US" w:eastAsia="zh-CN"/>
                    </w:rPr>
                  </w:pP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pPr>
                    <w:rPr>
                      <w:rFonts w:hint="eastAsia" w:eastAsia="宋体"/>
                      <w:lang w:val="en-US" w:eastAsia="zh-CN"/>
                    </w:rPr>
                  </w:pP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pPr>
                    <w:rPr>
                      <w:rFonts w:hint="default" w:eastAsia="宋体"/>
                      <w:lang w:val="en-US" w:eastAsia="zh-CN"/>
                    </w:rPr>
                  </w:pP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pPr>
                    <w:rPr>
                      <w:rFonts w:hint="eastAsia" w:eastAsia="宋体"/>
                      <w:lang w:val="en-US" w:eastAsia="zh-CN"/>
                    </w:rPr>
                  </w:pP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bl>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r>
              <w:rPr>
                <w:rFonts w:hint="eastAsia"/>
              </w:rPr>
              <w:t>资源（总则）</w:t>
            </w:r>
          </w:p>
        </w:tc>
        <w:tc>
          <w:tcPr>
            <w:tcW w:w="952" w:type="dxa"/>
            <w:gridSpan w:val="2"/>
            <w:vMerge w:val="restart"/>
            <w:shd w:val="clear" w:color="auto" w:fill="auto"/>
          </w:tcPr>
          <w:p>
            <w:r>
              <w:rPr>
                <w:rFonts w:hint="eastAsia"/>
                <w:color w:val="000000"/>
                <w:szCs w:val="21"/>
              </w:rPr>
              <w:t>F7.1.1</w:t>
            </w:r>
          </w:p>
        </w:tc>
        <w:tc>
          <w:tcPr>
            <w:tcW w:w="761" w:type="dxa"/>
            <w:shd w:val="clear" w:color="auto" w:fill="auto"/>
          </w:tcPr>
          <w:p>
            <w:r>
              <w:rPr>
                <w:rFonts w:hint="eastAsia"/>
              </w:rPr>
              <w:t>文件名称</w:t>
            </w:r>
          </w:p>
        </w:tc>
        <w:tc>
          <w:tcPr>
            <w:tcW w:w="9367" w:type="dxa"/>
            <w:shd w:val="clear" w:color="auto" w:fill="auto"/>
          </w:tcPr>
          <w:p>
            <w:r>
              <w:rPr>
                <w:rFonts w:hint="eastAsia"/>
              </w:rPr>
              <w:t>如：手册第7.1条款、</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3"/>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rFonts w:hint="eastAsia"/>
                <w:u w:val="single"/>
                <w:lang w:val="en-US" w:eastAsia="zh-CN"/>
              </w:rPr>
              <w:t>625</w:t>
            </w:r>
            <w:r>
              <w:rPr>
                <w:rFonts w:hint="eastAsia"/>
                <w:u w:val="single"/>
              </w:rPr>
              <w:t xml:space="preserve">   </w:t>
            </w:r>
            <w:r>
              <w:rPr>
                <w:rFonts w:hint="eastAsia"/>
                <w:highlight w:val="none"/>
              </w:rPr>
              <w:t>平方米</w:t>
            </w:r>
            <w:r>
              <w:rPr>
                <w:rFonts w:hint="eastAsia"/>
              </w:rPr>
              <w:t>；</w:t>
            </w:r>
            <w:r>
              <w:rPr>
                <w:rFonts w:hint="eastAsia"/>
                <w:lang w:val="en-US" w:eastAsia="zh-CN"/>
              </w:rPr>
              <w:t>加工</w:t>
            </w:r>
            <w:r>
              <w:rPr>
                <w:rFonts w:hint="eastAsia"/>
              </w:rPr>
              <w:t>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r>
              <w:rPr>
                <w:rFonts w:hint="eastAsia"/>
                <w:lang w:eastAsia="zh-CN"/>
              </w:rPr>
              <w:t>（</w:t>
            </w:r>
            <w:r>
              <w:rPr>
                <w:rFonts w:hint="eastAsia"/>
                <w:lang w:val="en-US" w:eastAsia="zh-CN"/>
              </w:rPr>
              <w:t>红案、白案</w:t>
            </w:r>
            <w:r>
              <w:rPr>
                <w:rFonts w:hint="eastAsia"/>
                <w:lang w:eastAsia="zh-CN"/>
              </w:rPr>
              <w:t>）</w:t>
            </w:r>
            <w:r>
              <w:rPr>
                <w:rFonts w:hint="eastAsia"/>
              </w:rPr>
              <w:t>；库房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widowControl/>
              <w:spacing w:before="40"/>
              <w:jc w:val="left"/>
              <w:rPr>
                <w:rFonts w:hint="eastAsia" w:eastAsia="宋体"/>
                <w:color w:val="000000"/>
                <w:lang w:val="en-US" w:eastAsia="zh-CN"/>
              </w:rPr>
            </w:pPr>
            <w:r>
              <w:rPr>
                <w:rFonts w:hint="eastAsia"/>
                <w:color w:val="000000"/>
              </w:rPr>
              <w:t>动力设施和辅助设施的状况，存在下列的场所：</w:t>
            </w:r>
            <w:r>
              <w:rPr>
                <w:rFonts w:hint="eastAsia"/>
                <w:color w:val="000000"/>
                <w:lang w:val="en-US" w:eastAsia="zh-CN"/>
              </w:rPr>
              <w:t>不适用</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w:t>
            </w:r>
            <w:r>
              <w:rPr>
                <w:rFonts w:hint="eastAsia"/>
                <w:u w:val="single"/>
                <w:lang w:val="en-US" w:eastAsia="zh-CN"/>
              </w:rPr>
              <w:t>灶具、蒸箱、红外餐具消毒柜、保鲜柜</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虫害消杀由甲方（校方）统一管理</w:t>
            </w:r>
            <w:r>
              <w:rPr>
                <w:rFonts w:hint="eastAsia"/>
                <w:u w:val="single"/>
              </w:rPr>
              <w:t xml:space="preserve">                </w:t>
            </w:r>
            <w:r>
              <w:rPr>
                <w:rFonts w:hint="eastAsia"/>
              </w:rPr>
              <w:t xml:space="preserve">  </w:t>
            </w:r>
          </w:p>
          <w:p>
            <w:pPr>
              <w:pStyle w:val="2"/>
              <w:rPr>
                <w:rFonts w:hint="eastAsia"/>
              </w:rPr>
            </w:pPr>
            <w:r>
              <w:rPr>
                <w:rFonts w:hint="eastAsia"/>
              </w:rPr>
              <w:t xml:space="preserve">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4" w:type="dxa"/>
            <w:gridSpan w:val="2"/>
            <w:vMerge w:val="restart"/>
            <w:shd w:val="clear" w:color="auto" w:fill="auto"/>
          </w:tcPr>
          <w:p>
            <w:r>
              <w:rPr>
                <w:rFonts w:hint="eastAsia"/>
              </w:rPr>
              <w:t xml:space="preserve">沟通  </w:t>
            </w:r>
          </w:p>
        </w:tc>
        <w:tc>
          <w:tcPr>
            <w:tcW w:w="952" w:type="dxa"/>
            <w:gridSpan w:val="2"/>
            <w:vMerge w:val="restart"/>
            <w:shd w:val="clear" w:color="auto" w:fill="auto"/>
          </w:tcPr>
          <w:p>
            <w:r>
              <w:rPr>
                <w:rFonts w:hint="eastAsia"/>
              </w:rPr>
              <w:t xml:space="preserve">F7.4  </w:t>
            </w:r>
          </w:p>
        </w:tc>
        <w:tc>
          <w:tcPr>
            <w:tcW w:w="761" w:type="dxa"/>
            <w:shd w:val="clear" w:color="auto" w:fill="auto"/>
          </w:tcPr>
          <w:p>
            <w:r>
              <w:rPr>
                <w:rFonts w:hint="eastAsia"/>
              </w:rPr>
              <w:t>文件名称</w:t>
            </w:r>
          </w:p>
        </w:tc>
        <w:tc>
          <w:tcPr>
            <w:tcW w:w="9367" w:type="dxa"/>
            <w:shd w:val="clear" w:color="auto" w:fill="auto"/>
          </w:tcPr>
          <w:p>
            <w:r>
              <w:rPr>
                <w:rFonts w:hint="eastAsia"/>
              </w:rPr>
              <w:t>如：《沟通控制程序》</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9" w:hRule="atLeast"/>
        </w:trPr>
        <w:tc>
          <w:tcPr>
            <w:tcW w:w="2044" w:type="dxa"/>
            <w:gridSpan w:val="2"/>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highlight w:val="none"/>
              </w:rPr>
            </w:pPr>
            <w:r>
              <w:rPr>
                <w:rFonts w:hint="eastAsia"/>
              </w:rPr>
              <w:t>组织考虑了合规义务，确保食品安全信息与食品安全管理体系形成的信息一致且真实可信。一般由</w:t>
            </w:r>
            <w:r>
              <w:rPr>
                <w:rFonts w:hint="eastAsia"/>
                <w:highlight w:val="none"/>
              </w:rPr>
              <w:t>运营部负责。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color w:val="000000"/>
                <w:szCs w:val="21"/>
                <w:lang w:eastAsia="zh-CN"/>
              </w:rPr>
              <w:t>□</w:t>
            </w:r>
            <w:r>
              <w:rPr>
                <w:rFonts w:hint="eastAsia"/>
                <w:color w:val="000000"/>
                <w:szCs w:val="21"/>
              </w:rPr>
              <w:t>网站</w:t>
            </w:r>
          </w:p>
          <w:p/>
          <w:p>
            <w:r>
              <w:rPr>
                <w:rFonts w:hint="eastAsia"/>
              </w:rPr>
              <w:t>内部沟通的控制方式：</w:t>
            </w:r>
            <w:r>
              <w:rPr>
                <w:rFonts w:hint="eastAsia"/>
                <w:color w:val="000000"/>
                <w:szCs w:val="21"/>
              </w:rPr>
              <w:t>☑会议 ☑表单传递 ☑微信 ☑QQ □展板 □标语</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052" w:type="dxa"/>
            <w:gridSpan w:val="3"/>
            <w:vMerge w:val="restart"/>
            <w:shd w:val="clear" w:color="auto" w:fill="auto"/>
          </w:tcPr>
          <w:p>
            <w:r>
              <w:rPr>
                <w:rFonts w:hint="eastAsia"/>
              </w:rPr>
              <w:t>监视、测量、分析和评价</w:t>
            </w:r>
          </w:p>
          <w:p/>
        </w:tc>
        <w:tc>
          <w:tcPr>
            <w:tcW w:w="944" w:type="dxa"/>
            <w:vMerge w:val="restart"/>
            <w:shd w:val="clear" w:color="auto" w:fill="auto"/>
          </w:tcPr>
          <w:p>
            <w:r>
              <w:rPr>
                <w:rFonts w:hint="eastAsia"/>
              </w:rPr>
              <w:t>F9.1.1</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FE"/>
            </w:r>
            <w:r>
              <w:rPr>
                <w:rFonts w:hint="eastAsia"/>
              </w:rPr>
              <w:t>管理手册9.1.1章</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6" w:hRule="atLeast"/>
        </w:trPr>
        <w:tc>
          <w:tcPr>
            <w:tcW w:w="2052" w:type="dxa"/>
            <w:gridSpan w:val="3"/>
            <w:vMerge w:val="continue"/>
            <w:shd w:val="clear" w:color="auto" w:fill="auto"/>
          </w:tcPr>
          <w:p/>
        </w:tc>
        <w:tc>
          <w:tcPr>
            <w:tcW w:w="944" w:type="dxa"/>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监视和测量的对象</w:t>
                  </w:r>
                </w:p>
              </w:tc>
              <w:tc>
                <w:tcPr>
                  <w:tcW w:w="2149" w:type="dxa"/>
                </w:tcPr>
                <w:p>
                  <w:pPr>
                    <w:rPr>
                      <w:color w:val="auto"/>
                      <w:highlight w:val="none"/>
                    </w:rPr>
                  </w:pPr>
                  <w:r>
                    <w:rPr>
                      <w:rFonts w:hint="eastAsia"/>
                      <w:color w:val="auto"/>
                      <w:highlight w:val="none"/>
                    </w:rPr>
                    <w:t>监视、测量、分析和评价的方法</w:t>
                  </w:r>
                </w:p>
              </w:tc>
              <w:tc>
                <w:tcPr>
                  <w:tcW w:w="1986" w:type="dxa"/>
                </w:tcPr>
                <w:p>
                  <w:pPr>
                    <w:rPr>
                      <w:color w:val="auto"/>
                      <w:highlight w:val="none"/>
                    </w:rPr>
                  </w:pPr>
                  <w:r>
                    <w:rPr>
                      <w:rFonts w:hint="eastAsia"/>
                      <w:color w:val="auto"/>
                      <w:highlight w:val="none"/>
                    </w:rPr>
                    <w:t>监视和测量的频次和时机</w:t>
                  </w:r>
                </w:p>
              </w:tc>
              <w:tc>
                <w:tcPr>
                  <w:tcW w:w="1887" w:type="dxa"/>
                </w:tcPr>
                <w:p>
                  <w:pPr>
                    <w:rPr>
                      <w:color w:val="auto"/>
                      <w:highlight w:val="none"/>
                    </w:rPr>
                  </w:pPr>
                  <w:r>
                    <w:rPr>
                      <w:rFonts w:hint="eastAsia"/>
                      <w:color w:val="auto"/>
                      <w:highlight w:val="none"/>
                    </w:rPr>
                    <w:t>评价其环境绩效所依据的准则和适当的参数</w:t>
                  </w:r>
                </w:p>
              </w:tc>
              <w:tc>
                <w:tcPr>
                  <w:tcW w:w="2034" w:type="dxa"/>
                </w:tcPr>
                <w:p>
                  <w:pPr>
                    <w:rPr>
                      <w:color w:val="auto"/>
                      <w:highlight w:val="none"/>
                    </w:rPr>
                  </w:pPr>
                  <w:r>
                    <w:rPr>
                      <w:rFonts w:hint="eastAsia"/>
                      <w:color w:val="auto"/>
                      <w:highlight w:val="none"/>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水质监测</w:t>
                  </w:r>
                </w:p>
              </w:tc>
              <w:tc>
                <w:tcPr>
                  <w:tcW w:w="2149" w:type="dxa"/>
                </w:tcPr>
                <w:p>
                  <w:pPr>
                    <w:rPr>
                      <w:color w:val="auto"/>
                      <w:highlight w:val="none"/>
                    </w:rPr>
                  </w:pPr>
                  <w:r>
                    <w:rPr>
                      <w:rFonts w:hint="eastAsia"/>
                      <w:color w:val="auto"/>
                      <w:highlight w:val="none"/>
                    </w:rPr>
                    <w:t>委托第三方检测</w:t>
                  </w:r>
                </w:p>
              </w:tc>
              <w:tc>
                <w:tcPr>
                  <w:tcW w:w="1986"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 □</w:t>
                  </w:r>
                  <w:r>
                    <w:rPr>
                      <w:rFonts w:hint="eastAsia"/>
                      <w:color w:val="auto"/>
                      <w:highlight w:val="none"/>
                    </w:rPr>
                    <w:t>其他</w:t>
                  </w:r>
                </w:p>
              </w:tc>
              <w:tc>
                <w:tcPr>
                  <w:tcW w:w="1887" w:type="dxa"/>
                </w:tcPr>
                <w:p>
                  <w:pPr>
                    <w:rPr>
                      <w:color w:val="auto"/>
                      <w:highlight w:val="none"/>
                    </w:rPr>
                  </w:pPr>
                  <w:r>
                    <w:rPr>
                      <w:rFonts w:hint="eastAsia"/>
                      <w:color w:val="auto"/>
                      <w:highlight w:val="none"/>
                    </w:rPr>
                    <w:t>GB 5749-2006</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餐具</w:t>
                  </w:r>
                </w:p>
              </w:tc>
              <w:tc>
                <w:tcPr>
                  <w:tcW w:w="2149" w:type="dxa"/>
                </w:tcPr>
                <w:p>
                  <w:pPr>
                    <w:rPr>
                      <w:color w:val="auto"/>
                      <w:highlight w:val="none"/>
                    </w:rPr>
                  </w:pPr>
                  <w:r>
                    <w:rPr>
                      <w:rFonts w:hint="eastAsia"/>
                      <w:color w:val="auto"/>
                      <w:highlight w:val="none"/>
                    </w:rPr>
                    <w:t>委托第三方检测</w:t>
                  </w:r>
                </w:p>
              </w:tc>
              <w:tc>
                <w:tcPr>
                  <w:tcW w:w="1986"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 □</w:t>
                  </w:r>
                  <w:r>
                    <w:rPr>
                      <w:rFonts w:hint="eastAsia"/>
                      <w:color w:val="auto"/>
                      <w:highlight w:val="none"/>
                    </w:rPr>
                    <w:t>其他</w:t>
                  </w:r>
                </w:p>
              </w:tc>
              <w:tc>
                <w:tcPr>
                  <w:tcW w:w="1887" w:type="dxa"/>
                </w:tcPr>
                <w:p>
                  <w:pPr>
                    <w:rPr>
                      <w:color w:val="auto"/>
                      <w:highlight w:val="none"/>
                    </w:rPr>
                  </w:pPr>
                  <w:r>
                    <w:rPr>
                      <w:rFonts w:hint="eastAsia"/>
                      <w:color w:val="auto"/>
                      <w:highlight w:val="none"/>
                    </w:rPr>
                    <w:t>GB14934-2016</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菜品</w:t>
                  </w:r>
                </w:p>
              </w:tc>
              <w:tc>
                <w:tcPr>
                  <w:tcW w:w="2149" w:type="dxa"/>
                </w:tcPr>
                <w:p>
                  <w:pPr>
                    <w:rPr>
                      <w:color w:val="auto"/>
                      <w:highlight w:val="none"/>
                    </w:rPr>
                  </w:pPr>
                  <w:r>
                    <w:rPr>
                      <w:rFonts w:hint="eastAsia"/>
                      <w:color w:val="auto"/>
                      <w:highlight w:val="none"/>
                    </w:rPr>
                    <w:t>委托第三方检测</w:t>
                  </w:r>
                </w:p>
              </w:tc>
              <w:tc>
                <w:tcPr>
                  <w:tcW w:w="1986"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 □</w:t>
                  </w:r>
                  <w:r>
                    <w:rPr>
                      <w:rFonts w:hint="eastAsia"/>
                      <w:color w:val="auto"/>
                      <w:highlight w:val="none"/>
                    </w:rPr>
                    <w:t>其他</w:t>
                  </w:r>
                </w:p>
              </w:tc>
              <w:tc>
                <w:tcPr>
                  <w:tcW w:w="1887" w:type="dxa"/>
                </w:tcPr>
                <w:p>
                  <w:pPr>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餐饮服务食品安全规范</w:t>
                  </w:r>
                  <w:r>
                    <w:rPr>
                      <w:rFonts w:hint="eastAsia"/>
                      <w:color w:val="auto"/>
                      <w:highlight w:val="none"/>
                      <w:lang w:eastAsia="zh-CN"/>
                    </w:rPr>
                    <w:t>》、《</w:t>
                  </w:r>
                  <w:r>
                    <w:rPr>
                      <w:rFonts w:hint="eastAsia"/>
                      <w:color w:val="auto"/>
                      <w:highlight w:val="none"/>
                      <w:lang w:val="en-US" w:eastAsia="zh-CN"/>
                    </w:rPr>
                    <w:t>危害控制计划》</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过程</w:t>
                  </w:r>
                </w:p>
              </w:tc>
              <w:tc>
                <w:tcPr>
                  <w:tcW w:w="2149" w:type="dxa"/>
                </w:tcPr>
                <w:p>
                  <w:pPr>
                    <w:rPr>
                      <w:color w:val="auto"/>
                      <w:highlight w:val="none"/>
                    </w:rPr>
                  </w:pPr>
                  <w:r>
                    <w:rPr>
                      <w:rFonts w:hint="eastAsia"/>
                      <w:color w:val="auto"/>
                      <w:highlight w:val="none"/>
                    </w:rPr>
                    <w:t>现场巡视</w:t>
                  </w:r>
                </w:p>
                <w:p>
                  <w:pPr>
                    <w:rPr>
                      <w:color w:val="auto"/>
                      <w:highlight w:val="none"/>
                    </w:rPr>
                  </w:pPr>
                  <w:r>
                    <w:rPr>
                      <w:rFonts w:hint="eastAsia"/>
                      <w:color w:val="auto"/>
                      <w:highlight w:val="none"/>
                    </w:rPr>
                    <w:t>抽查记录</w:t>
                  </w:r>
                </w:p>
                <w:p>
                  <w:pPr>
                    <w:rPr>
                      <w:color w:val="auto"/>
                      <w:highlight w:val="none"/>
                    </w:rPr>
                  </w:pPr>
                  <w:r>
                    <w:rPr>
                      <w:rFonts w:hint="eastAsia"/>
                      <w:color w:val="auto"/>
                      <w:highlight w:val="none"/>
                    </w:rPr>
                    <w:t>对食品安全目标进行统计</w:t>
                  </w:r>
                </w:p>
              </w:tc>
              <w:tc>
                <w:tcPr>
                  <w:tcW w:w="1986" w:type="dxa"/>
                </w:tcPr>
                <w:p>
                  <w:pPr>
                    <w:rPr>
                      <w:color w:val="auto"/>
                      <w:highlight w:val="none"/>
                    </w:rPr>
                  </w:pPr>
                  <w:r>
                    <w:rPr>
                      <w:rFonts w:hint="eastAsia"/>
                      <w:color w:val="auto"/>
                      <w:szCs w:val="21"/>
                      <w:highlight w:val="none"/>
                    </w:rPr>
                    <w:t>☑</w:t>
                  </w:r>
                  <w:r>
                    <w:rPr>
                      <w:rFonts w:hint="eastAsia"/>
                      <w:color w:val="auto"/>
                      <w:highlight w:val="none"/>
                    </w:rPr>
                    <w:t>定期检查</w:t>
                  </w:r>
                </w:p>
                <w:p>
                  <w:pPr>
                    <w:rPr>
                      <w:color w:val="auto"/>
                      <w:highlight w:val="none"/>
                    </w:rPr>
                  </w:pPr>
                  <w:r>
                    <w:rPr>
                      <w:rFonts w:hint="eastAsia"/>
                      <w:color w:val="auto"/>
                      <w:szCs w:val="21"/>
                      <w:highlight w:val="none"/>
                    </w:rPr>
                    <w:t>☑</w:t>
                  </w:r>
                  <w:r>
                    <w:rPr>
                      <w:rFonts w:hint="eastAsia"/>
                      <w:color w:val="auto"/>
                      <w:highlight w:val="none"/>
                    </w:rPr>
                    <w:t>抽查</w:t>
                  </w:r>
                </w:p>
              </w:tc>
              <w:tc>
                <w:tcPr>
                  <w:tcW w:w="1887" w:type="dxa"/>
                </w:tcPr>
                <w:p>
                  <w:pPr>
                    <w:rPr>
                      <w:rFonts w:hint="default" w:eastAsia="宋体"/>
                      <w:color w:val="auto"/>
                      <w:highlight w:val="none"/>
                      <w:lang w:val="en-US" w:eastAsia="zh-CN"/>
                    </w:rPr>
                  </w:pPr>
                  <w:r>
                    <w:rPr>
                      <w:rFonts w:hint="eastAsia"/>
                      <w:color w:val="auto"/>
                      <w:highlight w:val="none"/>
                    </w:rPr>
                    <w:t>操作规程</w:t>
                  </w:r>
                  <w:r>
                    <w:rPr>
                      <w:rFonts w:hint="eastAsia"/>
                      <w:color w:val="auto"/>
                      <w:highlight w:val="none"/>
                      <w:lang w:eastAsia="zh-CN"/>
                    </w:rPr>
                    <w:t>、</w:t>
                  </w:r>
                  <w:r>
                    <w:rPr>
                      <w:rFonts w:hint="eastAsia"/>
                      <w:color w:val="auto"/>
                      <w:highlight w:val="none"/>
                      <w:lang w:val="en-US" w:eastAsia="zh-CN"/>
                    </w:rPr>
                    <w:t>制度文件</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体系</w:t>
                  </w:r>
                </w:p>
              </w:tc>
              <w:tc>
                <w:tcPr>
                  <w:tcW w:w="2149" w:type="dxa"/>
                </w:tcPr>
                <w:p>
                  <w:pPr>
                    <w:rPr>
                      <w:color w:val="auto"/>
                      <w:highlight w:val="none"/>
                    </w:rPr>
                  </w:pPr>
                  <w:r>
                    <w:rPr>
                      <w:rFonts w:hint="eastAsia"/>
                      <w:color w:val="auto"/>
                      <w:highlight w:val="none"/>
                    </w:rPr>
                    <w:t>内部审核；对内审不符合项进行分析</w:t>
                  </w:r>
                </w:p>
              </w:tc>
              <w:tc>
                <w:tcPr>
                  <w:tcW w:w="1986" w:type="dxa"/>
                </w:tcPr>
                <w:p>
                  <w:pPr>
                    <w:rPr>
                      <w:color w:val="auto"/>
                      <w:highlight w:val="none"/>
                    </w:rPr>
                  </w:pPr>
                  <w:r>
                    <w:rPr>
                      <w:rFonts w:hint="eastAsia"/>
                      <w:color w:val="auto"/>
                      <w:szCs w:val="21"/>
                      <w:highlight w:val="none"/>
                    </w:rPr>
                    <w:t>☑</w:t>
                  </w:r>
                  <w:r>
                    <w:rPr>
                      <w:rFonts w:hint="eastAsia"/>
                      <w:color w:val="auto"/>
                      <w:highlight w:val="none"/>
                    </w:rPr>
                    <w:t>按年度内审计划</w:t>
                  </w:r>
                </w:p>
                <w:p>
                  <w:pPr>
                    <w:rPr>
                      <w:color w:val="auto"/>
                      <w:highlight w:val="none"/>
                    </w:rPr>
                  </w:pPr>
                  <w:r>
                    <w:rPr>
                      <w:rFonts w:hint="eastAsia"/>
                      <w:color w:val="auto"/>
                      <w:szCs w:val="21"/>
                      <w:highlight w:val="none"/>
                    </w:rPr>
                    <w:t>☑</w:t>
                  </w:r>
                  <w:r>
                    <w:rPr>
                      <w:rFonts w:hint="eastAsia"/>
                      <w:color w:val="auto"/>
                      <w:highlight w:val="none"/>
                    </w:rPr>
                    <w:t>每年一次</w:t>
                  </w:r>
                </w:p>
                <w:p>
                  <w:pPr>
                    <w:rPr>
                      <w:color w:val="auto"/>
                      <w:highlight w:val="none"/>
                    </w:rPr>
                  </w:pPr>
                  <w:r>
                    <w:rPr>
                      <w:rFonts w:hint="eastAsia"/>
                      <w:color w:val="auto"/>
                      <w:szCs w:val="21"/>
                      <w:highlight w:val="none"/>
                    </w:rPr>
                    <w:t>☑特殊情况增加</w:t>
                  </w:r>
                </w:p>
              </w:tc>
              <w:tc>
                <w:tcPr>
                  <w:tcW w:w="1887" w:type="dxa"/>
                </w:tcPr>
                <w:p>
                  <w:pPr>
                    <w:rPr>
                      <w:color w:val="auto"/>
                      <w:highlight w:val="none"/>
                    </w:rPr>
                  </w:pPr>
                  <w:r>
                    <w:rPr>
                      <w:rFonts w:hint="eastAsia"/>
                      <w:color w:val="auto"/>
                      <w:highlight w:val="none"/>
                    </w:rPr>
                    <w:t>ISO22000:2018</w:t>
                  </w:r>
                </w:p>
                <w:p>
                  <w:pPr>
                    <w:rPr>
                      <w:color w:val="auto"/>
                      <w:highlight w:val="none"/>
                    </w:rPr>
                  </w:pPr>
                  <w:r>
                    <w:rPr>
                      <w:rFonts w:hint="eastAsia"/>
                      <w:color w:val="auto"/>
                      <w:highlight w:val="none"/>
                    </w:rPr>
                    <w:t>GB/T27341-2009</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体系有效性</w:t>
                  </w:r>
                </w:p>
              </w:tc>
              <w:tc>
                <w:tcPr>
                  <w:tcW w:w="2149" w:type="dxa"/>
                </w:tcPr>
                <w:p>
                  <w:pPr>
                    <w:rPr>
                      <w:color w:val="auto"/>
                      <w:highlight w:val="none"/>
                    </w:rPr>
                  </w:pPr>
                  <w:r>
                    <w:rPr>
                      <w:rFonts w:hint="eastAsia"/>
                      <w:color w:val="auto"/>
                      <w:highlight w:val="none"/>
                    </w:rPr>
                    <w:t>管理评审，对食品</w:t>
                  </w:r>
                  <w:r>
                    <w:rPr>
                      <w:color w:val="auto"/>
                      <w:highlight w:val="none"/>
                    </w:rPr>
                    <w:t>安全管理体系</w:t>
                  </w:r>
                  <w:r>
                    <w:rPr>
                      <w:rFonts w:hint="eastAsia"/>
                      <w:color w:val="auto"/>
                      <w:highlight w:val="none"/>
                    </w:rPr>
                    <w:t>存在的需要问题进行分析</w:t>
                  </w:r>
                </w:p>
              </w:tc>
              <w:tc>
                <w:tcPr>
                  <w:tcW w:w="1986" w:type="dxa"/>
                </w:tcPr>
                <w:p>
                  <w:pPr>
                    <w:rPr>
                      <w:color w:val="auto"/>
                      <w:highlight w:val="none"/>
                    </w:rPr>
                  </w:pPr>
                  <w:r>
                    <w:rPr>
                      <w:rFonts w:ascii="Segoe UI Symbol" w:hAnsi="Segoe UI Symbol" w:cs="Segoe UI Symbol"/>
                      <w:color w:val="auto"/>
                      <w:szCs w:val="21"/>
                      <w:highlight w:val="none"/>
                    </w:rPr>
                    <w:t>☑</w:t>
                  </w:r>
                  <w:r>
                    <w:rPr>
                      <w:rFonts w:hint="eastAsia"/>
                      <w:color w:val="auto"/>
                      <w:highlight w:val="none"/>
                    </w:rPr>
                    <w:t>每年一次</w:t>
                  </w:r>
                </w:p>
                <w:p>
                  <w:pPr>
                    <w:rPr>
                      <w:color w:val="auto"/>
                      <w:highlight w:val="none"/>
                    </w:rPr>
                  </w:pPr>
                  <w:r>
                    <w:rPr>
                      <w:rFonts w:hint="eastAsia"/>
                      <w:color w:val="auto"/>
                      <w:szCs w:val="21"/>
                      <w:highlight w:val="none"/>
                    </w:rPr>
                    <w:t>☑特殊情况增加</w:t>
                  </w:r>
                </w:p>
              </w:tc>
              <w:tc>
                <w:tcPr>
                  <w:tcW w:w="1887" w:type="dxa"/>
                </w:tcPr>
                <w:p>
                  <w:pPr>
                    <w:rPr>
                      <w:color w:val="auto"/>
                      <w:highlight w:val="none"/>
                    </w:rPr>
                  </w:pPr>
                  <w:r>
                    <w:rPr>
                      <w:rFonts w:hint="eastAsia"/>
                      <w:color w:val="auto"/>
                      <w:highlight w:val="none"/>
                    </w:rPr>
                    <w:t>ISO22000:2018</w:t>
                  </w:r>
                </w:p>
                <w:p>
                  <w:pPr>
                    <w:rPr>
                      <w:color w:val="auto"/>
                      <w:highlight w:val="none"/>
                    </w:rPr>
                  </w:pPr>
                  <w:r>
                    <w:rPr>
                      <w:rFonts w:hint="eastAsia"/>
                      <w:color w:val="auto"/>
                      <w:highlight w:val="none"/>
                    </w:rPr>
                    <w:t>GB/T27341-2009</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auto"/>
                      <w:highlight w:val="none"/>
                    </w:rPr>
                  </w:pPr>
                  <w:r>
                    <w:rPr>
                      <w:rFonts w:hint="eastAsia"/>
                      <w:color w:val="auto"/>
                      <w:highlight w:val="none"/>
                    </w:rPr>
                    <w:t>相关方反馈</w:t>
                  </w:r>
                </w:p>
              </w:tc>
              <w:tc>
                <w:tcPr>
                  <w:tcW w:w="2149" w:type="dxa"/>
                </w:tcPr>
                <w:p>
                  <w:pPr>
                    <w:rPr>
                      <w:color w:val="auto"/>
                      <w:highlight w:val="none"/>
                    </w:rPr>
                  </w:pPr>
                  <w:r>
                    <w:rPr>
                      <w:rFonts w:hint="eastAsia"/>
                      <w:color w:val="auto"/>
                      <w:highlight w:val="none"/>
                    </w:rPr>
                    <w:t>反馈处理，对问题进行统计</w:t>
                  </w:r>
                </w:p>
              </w:tc>
              <w:tc>
                <w:tcPr>
                  <w:tcW w:w="1986" w:type="dxa"/>
                </w:tcPr>
                <w:p>
                  <w:pPr>
                    <w:rPr>
                      <w:color w:val="auto"/>
                      <w:highlight w:val="none"/>
                    </w:rPr>
                  </w:pPr>
                  <w:r>
                    <w:rPr>
                      <w:rFonts w:hint="eastAsia"/>
                      <w:color w:val="auto"/>
                      <w:szCs w:val="21"/>
                      <w:highlight w:val="none"/>
                    </w:rPr>
                    <w:t>□</w:t>
                  </w:r>
                  <w:r>
                    <w:rPr>
                      <w:rFonts w:hint="eastAsia"/>
                      <w:color w:val="auto"/>
                      <w:highlight w:val="none"/>
                    </w:rPr>
                    <w:t>每年一次</w:t>
                  </w:r>
                </w:p>
                <w:p>
                  <w:pPr>
                    <w:rPr>
                      <w:color w:val="auto"/>
                      <w:highlight w:val="none"/>
                    </w:rPr>
                  </w:pPr>
                  <w:r>
                    <w:rPr>
                      <w:rFonts w:hint="eastAsia"/>
                      <w:color w:val="auto"/>
                      <w:szCs w:val="21"/>
                      <w:highlight w:val="none"/>
                    </w:rPr>
                    <w:t>☑随时</w:t>
                  </w:r>
                </w:p>
              </w:tc>
              <w:tc>
                <w:tcPr>
                  <w:tcW w:w="1887" w:type="dxa"/>
                </w:tcPr>
                <w:p>
                  <w:pPr>
                    <w:rPr>
                      <w:color w:val="auto"/>
                      <w:highlight w:val="none"/>
                    </w:rPr>
                  </w:pPr>
                  <w:r>
                    <w:rPr>
                      <w:rFonts w:hint="eastAsia"/>
                      <w:color w:val="auto"/>
                      <w:highlight w:val="none"/>
                    </w:rPr>
                    <w:t>顾客满意度调查表</w:t>
                  </w:r>
                </w:p>
              </w:tc>
              <w:tc>
                <w:tcPr>
                  <w:tcW w:w="2034" w:type="dxa"/>
                </w:tcPr>
                <w:p>
                  <w:pPr>
                    <w:widowControl/>
                    <w:spacing w:before="40"/>
                    <w:jc w:val="left"/>
                    <w:rPr>
                      <w:color w:val="auto"/>
                      <w:szCs w:val="21"/>
                      <w:highlight w:val="none"/>
                    </w:rPr>
                  </w:pPr>
                  <w:r>
                    <w:rPr>
                      <w:rFonts w:hint="eastAsia"/>
                      <w:color w:val="auto"/>
                      <w:szCs w:val="21"/>
                      <w:highlight w:val="none"/>
                    </w:rPr>
                    <w:t>□</w:t>
                  </w:r>
                  <w:r>
                    <w:rPr>
                      <w:rFonts w:hint="eastAsia"/>
                      <w:color w:val="auto"/>
                      <w:highlight w:val="none"/>
                    </w:rPr>
                    <w:t>每月</w:t>
                  </w:r>
                  <w:r>
                    <w:rPr>
                      <w:rFonts w:hint="eastAsia"/>
                      <w:color w:val="auto"/>
                      <w:szCs w:val="21"/>
                      <w:highlight w:val="none"/>
                    </w:rPr>
                    <w:t xml:space="preserve"> □</w:t>
                  </w:r>
                  <w:r>
                    <w:rPr>
                      <w:rFonts w:hint="eastAsia"/>
                      <w:color w:val="auto"/>
                      <w:highlight w:val="none"/>
                    </w:rPr>
                    <w:t xml:space="preserve">每季度 </w:t>
                  </w:r>
                  <w:r>
                    <w:rPr>
                      <w:rFonts w:hint="eastAsia"/>
                      <w:color w:val="auto"/>
                      <w:szCs w:val="21"/>
                      <w:highlight w:val="none"/>
                    </w:rPr>
                    <w:t>□每年  ☑随时</w:t>
                  </w: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3"/>
            <w:vMerge w:val="restart"/>
            <w:shd w:val="clear" w:color="auto" w:fill="auto"/>
          </w:tcPr>
          <w:p>
            <w:r>
              <w:rPr>
                <w:rFonts w:hint="eastAsia"/>
              </w:rPr>
              <w:t>管理评审</w:t>
            </w:r>
          </w:p>
          <w:p/>
        </w:tc>
        <w:tc>
          <w:tcPr>
            <w:tcW w:w="944" w:type="dxa"/>
            <w:vMerge w:val="restart"/>
            <w:shd w:val="clear" w:color="auto" w:fill="auto"/>
          </w:tcPr>
          <w:p>
            <w:r>
              <w:rPr>
                <w:rFonts w:hint="eastAsia"/>
              </w:rPr>
              <w:t>F9.3</w:t>
            </w:r>
          </w:p>
          <w:p>
            <w:r>
              <w:rPr>
                <w:rFonts w:hint="eastAsia"/>
              </w:rPr>
              <w:t>H</w:t>
            </w:r>
            <w:r>
              <w:t>5.5</w:t>
            </w:r>
          </w:p>
        </w:tc>
        <w:tc>
          <w:tcPr>
            <w:tcW w:w="761" w:type="dxa"/>
            <w:shd w:val="clear" w:color="auto" w:fill="auto"/>
          </w:tcPr>
          <w:p>
            <w:r>
              <w:rPr>
                <w:rFonts w:hint="eastAsia"/>
              </w:rPr>
              <w:t>文件名称</w:t>
            </w:r>
          </w:p>
        </w:tc>
        <w:tc>
          <w:tcPr>
            <w:tcW w:w="9367" w:type="dxa"/>
            <w:shd w:val="clear" w:color="auto" w:fill="auto"/>
          </w:tcPr>
          <w:p>
            <w:r>
              <w:rPr>
                <w:rFonts w:hint="eastAsia"/>
              </w:rPr>
              <w:t>如：《管理评审控制程序》</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052" w:type="dxa"/>
            <w:gridSpan w:val="3"/>
            <w:vMerge w:val="continue"/>
            <w:shd w:val="clear" w:color="auto" w:fill="auto"/>
          </w:tcPr>
          <w:p/>
        </w:tc>
        <w:tc>
          <w:tcPr>
            <w:tcW w:w="944" w:type="dxa"/>
            <w:vMerge w:val="continue"/>
            <w:shd w:val="clear" w:color="auto" w:fill="auto"/>
          </w:tcPr>
          <w:p/>
        </w:tc>
        <w:tc>
          <w:tcPr>
            <w:tcW w:w="761" w:type="dxa"/>
            <w:shd w:val="clear" w:color="auto" w:fill="auto"/>
          </w:tcPr>
          <w:p>
            <w:pPr>
              <w:widowControl/>
              <w:spacing w:before="40"/>
              <w:jc w:val="left"/>
              <w:rPr>
                <w:color w:val="000000"/>
                <w:szCs w:val="18"/>
              </w:rPr>
            </w:pPr>
          </w:p>
          <w:p>
            <w:r>
              <w:rPr>
                <w:rFonts w:hint="eastAsia"/>
              </w:rPr>
              <w:t>运行证据</w:t>
            </w:r>
          </w:p>
        </w:tc>
        <w:tc>
          <w:tcPr>
            <w:tcW w:w="9367" w:type="dxa"/>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1</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月</w:t>
            </w:r>
            <w:r>
              <w:rPr>
                <w:rFonts w:hint="eastAsia"/>
                <w:color w:val="000000"/>
                <w:szCs w:val="18"/>
                <w:u w:val="single"/>
                <w:lang w:val="en-US" w:eastAsia="zh-CN"/>
              </w:rPr>
              <w:t xml:space="preserve">8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themeColor="text1"/>
                      <w:szCs w:val="21"/>
                      <w:highlight w:val="none"/>
                      <w:lang w:val="en-US" w:eastAsia="zh-CN"/>
                      <w14:textFill>
                        <w14:solidFill>
                          <w14:schemeClr w14:val="tx1"/>
                        </w14:solidFill>
                      </w14:textFill>
                    </w:rPr>
                    <w:t>去年管评采取措施已落实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highlight w:val="none"/>
                    </w:rPr>
                  </w:pPr>
                  <w:r>
                    <w:rPr>
                      <w:rFonts w:hint="eastAsia"/>
                      <w:highlight w:val="none"/>
                    </w:rPr>
                    <w:sym w:font="Wingdings" w:char="00FE"/>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未发生，组织撤回/召回演练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已按照策划的目标完成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近一年以来未发生顾客投诉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近一年也未发生，公司组织应急演练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yellow"/>
              </w:rPr>
            </w:pPr>
          </w:p>
          <w:p>
            <w:pPr>
              <w:widowControl/>
              <w:spacing w:before="40"/>
              <w:jc w:val="left"/>
              <w:rPr>
                <w:rFonts w:hint="eastAsia"/>
                <w:highlight w:val="none"/>
                <w:u w:val="single"/>
              </w:rPr>
            </w:pPr>
            <w:r>
              <w:rPr>
                <w:rFonts w:hint="eastAsia"/>
                <w:color w:val="000000"/>
                <w:szCs w:val="21"/>
                <w:highlight w:val="none"/>
              </w:rPr>
              <w:t>对食品安全管理体系的持续适宜性，充分性，有效性的结论。☑</w:t>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widowControl/>
              <w:spacing w:before="40"/>
              <w:jc w:val="left"/>
              <w:rPr>
                <w:rFonts w:hint="eastAsia"/>
                <w:highlight w:val="yellow"/>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default" w:eastAsia="宋体"/>
                      <w:color w:val="000000"/>
                      <w:szCs w:val="21"/>
                      <w:highlight w:val="none"/>
                      <w:lang w:val="en-US" w:eastAsia="zh-CN"/>
                    </w:rPr>
                  </w:pPr>
                  <w:r>
                    <w:rPr>
                      <w:rFonts w:hint="eastAsia"/>
                      <w:highlight w:val="none"/>
                      <w:lang w:val="en-US" w:eastAsia="zh-CN"/>
                    </w:rPr>
                    <w:t>加强体系、食品安全知识培训</w:t>
                  </w:r>
                  <w:r>
                    <w:rPr>
                      <w:rFonts w:hint="eastAsia"/>
                      <w:highlight w:val="none"/>
                    </w:rPr>
                    <w:t>。</w:t>
                  </w:r>
                </w:p>
              </w:tc>
              <w:tc>
                <w:tcPr>
                  <w:tcW w:w="2496" w:type="dxa"/>
                </w:tcPr>
                <w:p>
                  <w:pPr>
                    <w:widowControl/>
                    <w:spacing w:before="40"/>
                    <w:jc w:val="left"/>
                    <w:rPr>
                      <w:color w:val="000000"/>
                      <w:szCs w:val="21"/>
                      <w:highlight w:val="none"/>
                    </w:rPr>
                  </w:pPr>
                  <w:r>
                    <w:rPr>
                      <w:rFonts w:hint="eastAsia" w:ascii="Segoe UI Symbol" w:hAnsi="Segoe UI Symbol" w:cs="Segoe UI Symbol"/>
                      <w:color w:val="000000"/>
                      <w:szCs w:val="21"/>
                      <w:highlight w:val="none"/>
                      <w:lang w:eastAsia="zh-CN"/>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yellow"/>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3"/>
            <w:vMerge w:val="restart"/>
            <w:shd w:val="clear" w:color="auto" w:fill="auto"/>
          </w:tcPr>
          <w:p>
            <w:r>
              <w:rPr>
                <w:rFonts w:hint="eastAsia"/>
              </w:rPr>
              <w:t>持续改进</w:t>
            </w:r>
          </w:p>
        </w:tc>
        <w:tc>
          <w:tcPr>
            <w:tcW w:w="944" w:type="dxa"/>
            <w:vMerge w:val="restart"/>
            <w:shd w:val="clear" w:color="auto" w:fill="auto"/>
          </w:tcPr>
          <w:p>
            <w:r>
              <w:rPr>
                <w:rFonts w:hint="eastAsia"/>
              </w:rPr>
              <w:t>F10.2</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FE"/>
            </w:r>
            <w:r>
              <w:rPr>
                <w:rFonts w:hint="eastAsia"/>
                <w:highlight w:val="none"/>
              </w:rPr>
              <w:t>管理手册10.</w:t>
            </w:r>
            <w:r>
              <w:rPr>
                <w:rFonts w:hint="eastAsia"/>
                <w:highlight w:val="none"/>
                <w:lang w:val="en-US" w:eastAsia="zh-CN"/>
              </w:rPr>
              <w:t>2</w:t>
            </w:r>
            <w:r>
              <w:rPr>
                <w:rFonts w:hint="eastAsia"/>
                <w:highlight w:val="none"/>
              </w:rPr>
              <w:t>章</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2052" w:type="dxa"/>
            <w:gridSpan w:val="3"/>
            <w:vMerge w:val="continue"/>
            <w:shd w:val="clear" w:color="auto" w:fill="auto"/>
          </w:tcPr>
          <w:p/>
        </w:tc>
        <w:tc>
          <w:tcPr>
            <w:tcW w:w="944" w:type="dxa"/>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052" w:type="dxa"/>
            <w:gridSpan w:val="3"/>
            <w:vMerge w:val="restart"/>
            <w:shd w:val="clear" w:color="auto" w:fill="auto"/>
          </w:tcPr>
          <w:p>
            <w:r>
              <w:rPr>
                <w:rFonts w:hint="eastAsia"/>
              </w:rPr>
              <w:t>食品安全管理体系的更新</w:t>
            </w:r>
          </w:p>
          <w:p/>
        </w:tc>
        <w:tc>
          <w:tcPr>
            <w:tcW w:w="944" w:type="dxa"/>
            <w:vMerge w:val="restart"/>
            <w:shd w:val="clear" w:color="auto" w:fill="auto"/>
          </w:tcPr>
          <w:p>
            <w:r>
              <w:rPr>
                <w:rFonts w:hint="eastAsia"/>
              </w:rPr>
              <w:t>F10.3</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FE"/>
            </w:r>
            <w:r>
              <w:rPr>
                <w:rFonts w:hint="eastAsia"/>
              </w:rPr>
              <w:t>管理手册10.3章</w:t>
            </w:r>
          </w:p>
        </w:tc>
        <w:tc>
          <w:tcPr>
            <w:tcW w:w="1590"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052" w:type="dxa"/>
            <w:gridSpan w:val="3"/>
            <w:vMerge w:val="continue"/>
            <w:shd w:val="clear" w:color="auto" w:fill="auto"/>
          </w:tcPr>
          <w:p/>
        </w:tc>
        <w:tc>
          <w:tcPr>
            <w:tcW w:w="944" w:type="dxa"/>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u w:val="single"/>
              </w:rPr>
            </w:pPr>
            <w:r>
              <w:t>最高管理者确保FSMS持续更新。</w:t>
            </w:r>
            <w:r>
              <w:rPr>
                <w:rFonts w:hint="eastAsia"/>
              </w:rPr>
              <w:sym w:font="Wingdings" w:char="00A8"/>
            </w:r>
            <w:r>
              <w:rPr>
                <w:rFonts w:hint="eastAsia"/>
              </w:rPr>
              <w:t>是、</w:t>
            </w:r>
            <w:r>
              <w:rPr>
                <w:rFonts w:hint="eastAsia"/>
              </w:rPr>
              <w:sym w:font="Wingdings" w:char="00A8"/>
            </w:r>
            <w:r>
              <w:rPr>
                <w:rFonts w:hint="eastAsia"/>
              </w:rPr>
              <w:t>否，说明；</w:t>
            </w:r>
            <w:r>
              <w:rPr>
                <w:rFonts w:hint="eastAsia"/>
                <w:u w:val="single"/>
              </w:rPr>
              <w:t xml:space="preserve">   </w:t>
            </w:r>
            <w:r>
              <w:rPr>
                <w:rFonts w:hint="eastAsia"/>
                <w:u w:val="single"/>
                <w:lang w:val="en-US" w:eastAsia="zh-CN"/>
              </w:rPr>
              <w:t>近一年以来未发生</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近一年，未发生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t>，作为输入报告给管理评审。</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97" w:hRule="atLeast"/>
        </w:trPr>
        <w:tc>
          <w:tcPr>
            <w:tcW w:w="2047" w:type="dxa"/>
            <w:gridSpan w:val="2"/>
            <w:shd w:val="clear" w:color="auto" w:fill="auto"/>
            <w:vAlign w:val="center"/>
          </w:tcPr>
          <w:p>
            <w:r>
              <w:rPr>
                <w:rFonts w:hint="eastAsia"/>
              </w:rPr>
              <w:t>范围的确认、资质的确认、管理体系变化情况、监督抽查情况、顾客投诉、认证证书及标识使用情况。</w:t>
            </w:r>
          </w:p>
          <w:p>
            <w:pPr>
              <w:pStyle w:val="2"/>
              <w:rPr>
                <w:rFonts w:ascii="宋体" w:hAnsi="宋体"/>
                <w:szCs w:val="21"/>
              </w:rPr>
            </w:pPr>
            <w:r>
              <w:rPr>
                <w:rFonts w:hint="eastAsia" w:ascii="宋体" w:hAnsi="宋体" w:cs="宋体"/>
                <w:szCs w:val="21"/>
              </w:rPr>
              <w:t>上次不符合的验证</w:t>
            </w:r>
          </w:p>
        </w:tc>
        <w:tc>
          <w:tcPr>
            <w:tcW w:w="944" w:type="dxa"/>
            <w:shd w:val="clear" w:color="auto" w:fill="auto"/>
            <w:vAlign w:val="center"/>
          </w:tcPr>
          <w:p>
            <w:pPr>
              <w:rPr>
                <w:rFonts w:ascii="宋体" w:hAnsi="宋体"/>
                <w:szCs w:val="21"/>
              </w:rPr>
            </w:pPr>
          </w:p>
        </w:tc>
        <w:tc>
          <w:tcPr>
            <w:tcW w:w="10133" w:type="dxa"/>
            <w:gridSpan w:val="3"/>
            <w:shd w:val="clear" w:color="auto" w:fill="auto"/>
            <w:vAlign w:val="center"/>
          </w:tcPr>
          <w:p>
            <w:pPr>
              <w:numPr>
                <w:ilvl w:val="0"/>
                <w:numId w:val="4"/>
              </w:numPr>
              <w:spacing w:line="360" w:lineRule="auto"/>
              <w:ind w:firstLine="420" w:firstLineChars="200"/>
              <w:rPr>
                <w:rFonts w:hint="eastAsia"/>
                <w:szCs w:val="22"/>
                <w:lang w:eastAsia="zh-CN"/>
              </w:rPr>
            </w:pPr>
            <w:r>
              <w:rPr>
                <w:rFonts w:hint="eastAsia"/>
                <w:szCs w:val="22"/>
                <w:lang w:val="en-US" w:eastAsia="zh-CN"/>
              </w:rPr>
              <w:t>经远程沟通</w:t>
            </w:r>
            <w:r>
              <w:rPr>
                <w:rFonts w:hint="eastAsia"/>
                <w:szCs w:val="22"/>
              </w:rPr>
              <w:t>确认，公司管理体系范围无变化</w:t>
            </w:r>
            <w:r>
              <w:rPr>
                <w:rFonts w:hint="eastAsia"/>
                <w:szCs w:val="22"/>
                <w:lang w:eastAsia="zh-CN"/>
              </w:rPr>
              <w:t>；</w:t>
            </w:r>
          </w:p>
          <w:p>
            <w:pPr>
              <w:numPr>
                <w:ilvl w:val="0"/>
                <w:numId w:val="4"/>
              </w:numPr>
              <w:spacing w:line="360" w:lineRule="auto"/>
              <w:ind w:left="0" w:leftChars="0" w:firstLine="420" w:firstLineChars="200"/>
              <w:rPr>
                <w:rFonts w:hint="eastAsia"/>
                <w:szCs w:val="22"/>
                <w:lang w:eastAsia="zh-CN"/>
              </w:rPr>
            </w:pPr>
            <w:r>
              <w:rPr>
                <w:rFonts w:hint="eastAsia"/>
                <w:szCs w:val="22"/>
                <w:lang w:val="en-US" w:eastAsia="zh-CN"/>
              </w:rPr>
              <w:t>查核组织</w:t>
            </w:r>
            <w:r>
              <w:rPr>
                <w:rFonts w:hint="eastAsia"/>
                <w:szCs w:val="22"/>
              </w:rPr>
              <w:t>营业执照</w:t>
            </w:r>
            <w:r>
              <w:rPr>
                <w:rFonts w:hint="eastAsia"/>
                <w:szCs w:val="22"/>
                <w:lang w:val="en-US" w:eastAsia="zh-CN"/>
              </w:rPr>
              <w:t>复印件、承包《福建农业职业技术学院（首山校区》的食品经营许可证复印件，均在有效期范围内</w:t>
            </w:r>
            <w:r>
              <w:rPr>
                <w:rFonts w:hint="eastAsia"/>
                <w:szCs w:val="22"/>
                <w:lang w:eastAsia="zh-CN"/>
              </w:rPr>
              <w:t>。</w:t>
            </w:r>
          </w:p>
          <w:p>
            <w:pPr>
              <w:numPr>
                <w:ilvl w:val="0"/>
                <w:numId w:val="4"/>
              </w:numPr>
              <w:spacing w:line="360" w:lineRule="auto"/>
              <w:ind w:left="0" w:leftChars="0" w:firstLine="420" w:firstLineChars="200"/>
              <w:rPr>
                <w:rFonts w:hint="default" w:eastAsia="宋体"/>
                <w:lang w:val="en-US" w:eastAsia="zh-CN"/>
              </w:rPr>
            </w:pPr>
            <w:r>
              <w:rPr>
                <w:rFonts w:hint="eastAsia"/>
                <w:lang w:val="en-US" w:eastAsia="zh-CN"/>
              </w:rPr>
              <w:t>近一年内</w:t>
            </w:r>
            <w:r>
              <w:rPr>
                <w:rFonts w:hint="eastAsia"/>
              </w:rPr>
              <w:t>，公司</w:t>
            </w:r>
            <w:r>
              <w:rPr>
                <w:rFonts w:hint="eastAsia"/>
                <w:lang w:val="en-US" w:eastAsia="zh-CN"/>
              </w:rPr>
              <w:t>无</w:t>
            </w:r>
            <w:r>
              <w:rPr>
                <w:rFonts w:hint="eastAsia"/>
              </w:rPr>
              <w:t>重大</w:t>
            </w:r>
            <w:r>
              <w:rPr>
                <w:rFonts w:hint="eastAsia"/>
                <w:lang w:val="en-US" w:eastAsia="zh-CN"/>
              </w:rPr>
              <w:t>食品安全</w:t>
            </w:r>
            <w:r>
              <w:rPr>
                <w:rFonts w:hint="eastAsia"/>
              </w:rPr>
              <w:t>投诉，</w:t>
            </w:r>
            <w:r>
              <w:rPr>
                <w:rFonts w:hint="eastAsia"/>
                <w:lang w:val="en-US" w:eastAsia="zh-CN"/>
              </w:rPr>
              <w:t>未发生曝光情况。</w:t>
            </w:r>
          </w:p>
          <w:p>
            <w:pPr>
              <w:numPr>
                <w:ilvl w:val="0"/>
                <w:numId w:val="4"/>
              </w:numPr>
              <w:spacing w:line="360" w:lineRule="auto"/>
              <w:ind w:left="0" w:leftChars="0" w:firstLine="420" w:firstLineChars="200"/>
            </w:pPr>
            <w:r>
              <w:rPr>
                <w:rFonts w:hint="eastAsia"/>
              </w:rPr>
              <w:t>今年无</w:t>
            </w:r>
            <w:r>
              <w:rPr>
                <w:rFonts w:hint="eastAsia"/>
                <w:lang w:val="en-US" w:eastAsia="zh-CN"/>
              </w:rPr>
              <w:t>主管部门</w:t>
            </w:r>
            <w:r>
              <w:rPr>
                <w:rFonts w:hint="eastAsia"/>
              </w:rPr>
              <w:t>监督抽查情况。</w:t>
            </w:r>
            <w:r>
              <w:rPr>
                <w:rFonts w:hint="eastAsia"/>
                <w:lang w:val="en-US" w:eastAsia="zh-CN"/>
              </w:rPr>
              <w:t>远程沟通</w:t>
            </w:r>
            <w:r>
              <w:rPr>
                <w:rFonts w:hint="eastAsia"/>
              </w:rPr>
              <w:t>认证证书及标识使用情况，符合要求。</w:t>
            </w:r>
          </w:p>
          <w:p>
            <w:pPr>
              <w:numPr>
                <w:ilvl w:val="0"/>
                <w:numId w:val="4"/>
              </w:numPr>
              <w:spacing w:before="120" w:line="360" w:lineRule="auto"/>
              <w:ind w:left="0" w:leftChars="0" w:firstLine="420" w:firstLineChars="200"/>
              <w:rPr>
                <w:rFonts w:ascii="宋体" w:hAnsi="宋体"/>
                <w:szCs w:val="21"/>
              </w:rPr>
            </w:pPr>
            <w:r>
              <w:rPr>
                <w:rFonts w:hint="eastAsia"/>
                <w:bCs w:val="0"/>
                <w:spacing w:val="0"/>
                <w:szCs w:val="22"/>
                <w:highlight w:val="none"/>
              </w:rPr>
              <w:t>上次审核</w:t>
            </w:r>
            <w:r>
              <w:rPr>
                <w:rFonts w:hint="eastAsia"/>
                <w:bCs w:val="0"/>
                <w:spacing w:val="0"/>
                <w:szCs w:val="22"/>
                <w:highlight w:val="none"/>
                <w:lang w:val="en-US" w:eastAsia="zh-CN"/>
              </w:rPr>
              <w:t>项经过验证，均已整改。</w:t>
            </w:r>
          </w:p>
        </w:tc>
        <w:tc>
          <w:tcPr>
            <w:tcW w:w="1585" w:type="dxa"/>
            <w:shd w:val="clear" w:color="auto" w:fill="auto"/>
          </w:tcPr>
          <w:p>
            <w:r>
              <w:rPr>
                <w:rFonts w:hint="eastAsia"/>
              </w:rPr>
              <w:t>符合</w:t>
            </w:r>
          </w:p>
        </w:tc>
      </w:tr>
      <w:bookmarkEnd w:id="4"/>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IDFont+F5">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6FBB"/>
    <w:multiLevelType w:val="singleLevel"/>
    <w:tmpl w:val="829F6FBB"/>
    <w:lvl w:ilvl="0" w:tentative="0">
      <w:start w:val="1"/>
      <w:numFmt w:val="decimal"/>
      <w:suff w:val="space"/>
      <w:lvlText w:val="%1."/>
      <w:lvlJc w:val="left"/>
    </w:lvl>
  </w:abstractNum>
  <w:abstractNum w:abstractNumId="1">
    <w:nsid w:val="C0A14BC9"/>
    <w:multiLevelType w:val="singleLevel"/>
    <w:tmpl w:val="C0A14BC9"/>
    <w:lvl w:ilvl="0" w:tentative="0">
      <w:start w:val="1"/>
      <w:numFmt w:val="decimal"/>
      <w:suff w:val="space"/>
      <w:lvlText w:val="%1."/>
      <w:lvlJc w:val="left"/>
    </w:lvl>
  </w:abstractNum>
  <w:abstractNum w:abstractNumId="2">
    <w:nsid w:val="17A82F78"/>
    <w:multiLevelType w:val="singleLevel"/>
    <w:tmpl w:val="17A82F78"/>
    <w:lvl w:ilvl="0" w:tentative="0">
      <w:start w:val="1"/>
      <w:numFmt w:val="decimal"/>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62E46"/>
    <w:rsid w:val="00066B43"/>
    <w:rsid w:val="000C15A0"/>
    <w:rsid w:val="000E6B21"/>
    <w:rsid w:val="001126B5"/>
    <w:rsid w:val="00120E8B"/>
    <w:rsid w:val="001226ED"/>
    <w:rsid w:val="00172A27"/>
    <w:rsid w:val="001A2D7F"/>
    <w:rsid w:val="001A7976"/>
    <w:rsid w:val="001F090B"/>
    <w:rsid w:val="001F13F9"/>
    <w:rsid w:val="0020258E"/>
    <w:rsid w:val="002939AD"/>
    <w:rsid w:val="00301F2D"/>
    <w:rsid w:val="00314AF6"/>
    <w:rsid w:val="00336C5B"/>
    <w:rsid w:val="00337922"/>
    <w:rsid w:val="00340867"/>
    <w:rsid w:val="00373270"/>
    <w:rsid w:val="00380837"/>
    <w:rsid w:val="003A198A"/>
    <w:rsid w:val="003A3FFF"/>
    <w:rsid w:val="00410914"/>
    <w:rsid w:val="004177C7"/>
    <w:rsid w:val="00430DD2"/>
    <w:rsid w:val="004724DC"/>
    <w:rsid w:val="0048201E"/>
    <w:rsid w:val="005158BA"/>
    <w:rsid w:val="00536930"/>
    <w:rsid w:val="00553344"/>
    <w:rsid w:val="00564E53"/>
    <w:rsid w:val="00572483"/>
    <w:rsid w:val="005D4D9D"/>
    <w:rsid w:val="005D5659"/>
    <w:rsid w:val="00600C20"/>
    <w:rsid w:val="00616BCD"/>
    <w:rsid w:val="00644FE2"/>
    <w:rsid w:val="0067640C"/>
    <w:rsid w:val="00696F95"/>
    <w:rsid w:val="006E678B"/>
    <w:rsid w:val="006E7B1D"/>
    <w:rsid w:val="006F43EA"/>
    <w:rsid w:val="00713448"/>
    <w:rsid w:val="00733AF3"/>
    <w:rsid w:val="007565B2"/>
    <w:rsid w:val="007757F3"/>
    <w:rsid w:val="007C1061"/>
    <w:rsid w:val="007C1B48"/>
    <w:rsid w:val="007E3B15"/>
    <w:rsid w:val="007E6AEB"/>
    <w:rsid w:val="00801C24"/>
    <w:rsid w:val="00854BF7"/>
    <w:rsid w:val="008973EE"/>
    <w:rsid w:val="00897F39"/>
    <w:rsid w:val="008E686A"/>
    <w:rsid w:val="00971600"/>
    <w:rsid w:val="009973B4"/>
    <w:rsid w:val="009C28C1"/>
    <w:rsid w:val="009F7EED"/>
    <w:rsid w:val="00A21CD2"/>
    <w:rsid w:val="00A30CCE"/>
    <w:rsid w:val="00A80636"/>
    <w:rsid w:val="00A8382E"/>
    <w:rsid w:val="00AD60E0"/>
    <w:rsid w:val="00AE46F3"/>
    <w:rsid w:val="00AF0AAB"/>
    <w:rsid w:val="00B13D4A"/>
    <w:rsid w:val="00B309D5"/>
    <w:rsid w:val="00BF1FBB"/>
    <w:rsid w:val="00BF597E"/>
    <w:rsid w:val="00C30FA9"/>
    <w:rsid w:val="00C465A4"/>
    <w:rsid w:val="00C51A36"/>
    <w:rsid w:val="00C55228"/>
    <w:rsid w:val="00C63768"/>
    <w:rsid w:val="00C77034"/>
    <w:rsid w:val="00C96C18"/>
    <w:rsid w:val="00CE315A"/>
    <w:rsid w:val="00D06F59"/>
    <w:rsid w:val="00D436A8"/>
    <w:rsid w:val="00D64E7C"/>
    <w:rsid w:val="00D82E51"/>
    <w:rsid w:val="00D8388C"/>
    <w:rsid w:val="00DC0CD3"/>
    <w:rsid w:val="00DD5DF8"/>
    <w:rsid w:val="00E6224C"/>
    <w:rsid w:val="00EA37D1"/>
    <w:rsid w:val="00EB0164"/>
    <w:rsid w:val="00ED0F62"/>
    <w:rsid w:val="00EF5D02"/>
    <w:rsid w:val="00F14A9E"/>
    <w:rsid w:val="00F31A90"/>
    <w:rsid w:val="00F51DFC"/>
    <w:rsid w:val="00F94C84"/>
    <w:rsid w:val="00FB3E36"/>
    <w:rsid w:val="00FD7CF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904632"/>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9B5D21"/>
    <w:rsid w:val="43C730CD"/>
    <w:rsid w:val="43CF2854"/>
    <w:rsid w:val="44087BCA"/>
    <w:rsid w:val="44350F69"/>
    <w:rsid w:val="447243B8"/>
    <w:rsid w:val="44A527AB"/>
    <w:rsid w:val="44A567F5"/>
    <w:rsid w:val="453B1EBC"/>
    <w:rsid w:val="45635AEC"/>
    <w:rsid w:val="45AC03A0"/>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12CA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8F746B3"/>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C29D3"/>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1175</Words>
  <Characters>6702</Characters>
  <Lines>55</Lines>
  <Paragraphs>15</Paragraphs>
  <TotalTime>1</TotalTime>
  <ScaleCrop>false</ScaleCrop>
  <LinksUpToDate>false</LinksUpToDate>
  <CharactersWithSpaces>7862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2021-11-16T03:43:27Z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975FB597EE464042B24D6EB660355487</vt:lpwstr>
  </property>
</Properties>
</file>