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03"/>
        <w:gridCol w:w="921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受审核部门：运营部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陪同人员：胡泽</w:t>
            </w:r>
            <w:r>
              <w:rPr>
                <w:sz w:val="24"/>
                <w:szCs w:val="24"/>
              </w:rPr>
              <w:t>慧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远程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2021-11-15下午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916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FSMS:5.3/6.2/7.1.6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 5.2/5.3.1/6.5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GB14881:7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HACCP1.0要求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</w:t>
            </w:r>
            <w:r>
              <w:t>5.3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H5.3.1</w:t>
            </w:r>
          </w:p>
        </w:tc>
        <w:tc>
          <w:tcPr>
            <w:tcW w:w="70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/>
              <w:sym w:font="Wingdings" w:char="F0FE"/>
            </w:r>
            <w:r>
              <w:rPr>
                <w:rFonts w:hint="eastAsia"/>
              </w:rPr>
              <w:t>《食</w:t>
            </w:r>
            <w:r>
              <w:t>品安全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</w:rPr>
              <w:t xml:space="preserve"> 》</w:t>
            </w:r>
            <w:r>
              <w:rPr>
                <w:rFonts w:hint="eastAsia"/>
                <w:lang w:val="en-US" w:eastAsia="zh-CN"/>
              </w:rPr>
              <w:t>5.3条款</w:t>
            </w:r>
          </w:p>
        </w:tc>
        <w:tc>
          <w:tcPr>
            <w:tcW w:w="167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>
            <w:pPr>
              <w:spacing w:line="360" w:lineRule="auto"/>
              <w:ind w:firstLine="210" w:firstLineChars="100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主要负责供方的管理，通过供方选择、评价；建立合格供方名录；根据餐饮管理部需求制定食材采购计划，安排采购；采购过程中不合格品的处理，参与公司组织的应急演练、撤回/召回演练等工作。经沟通了解本部门职责未发生重大变化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</w:t>
            </w:r>
            <w:r>
              <w:t>6.2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H5.2</w:t>
            </w:r>
          </w:p>
        </w:tc>
        <w:tc>
          <w:tcPr>
            <w:tcW w:w="70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食品安全目标及</w:t>
            </w:r>
            <w:r>
              <w:rPr>
                <w:color w:val="000000"/>
                <w:szCs w:val="21"/>
              </w:rPr>
              <w:t>考核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p/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9"/>
              <w:gridCol w:w="3658"/>
              <w:gridCol w:w="22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食品安全目标</w:t>
                  </w:r>
                </w:p>
              </w:tc>
              <w:tc>
                <w:tcPr>
                  <w:tcW w:w="365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2289" w:type="dxa"/>
                  <w:shd w:val="clear" w:color="auto" w:fill="auto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目标实际完成</w:t>
                  </w:r>
                </w:p>
                <w:p>
                  <w:pPr>
                    <w:pStyle w:val="2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2020.10-2021.10）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物料准时到货率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≥95%</w:t>
                  </w:r>
                </w:p>
              </w:tc>
              <w:tc>
                <w:tcPr>
                  <w:tcW w:w="3658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准时到货次数/到货次数总数</w:t>
                  </w:r>
                </w:p>
              </w:tc>
              <w:tc>
                <w:tcPr>
                  <w:tcW w:w="2289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98％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采购物料合格率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3658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物料采购合格数量/采购总数量</w:t>
                  </w:r>
                </w:p>
              </w:tc>
              <w:tc>
                <w:tcPr>
                  <w:tcW w:w="2289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关键控制点监控合格率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3658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关键控制点监控合格率=（对CCP点的控制抽查合格数/总CCP点的控制抽查合格数）*100%</w:t>
                  </w:r>
                </w:p>
              </w:tc>
              <w:tc>
                <w:tcPr>
                  <w:tcW w:w="2289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供方评价覆盖率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3658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供方评价数量/供方总数</w:t>
                  </w:r>
                </w:p>
              </w:tc>
              <w:tc>
                <w:tcPr>
                  <w:tcW w:w="2289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95%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9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顾客满意度≥95%</w:t>
                  </w:r>
                </w:p>
              </w:tc>
              <w:tc>
                <w:tcPr>
                  <w:tcW w:w="3658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每季度由运营部分析统计结果</w:t>
                  </w:r>
                </w:p>
              </w:tc>
              <w:tc>
                <w:tcPr>
                  <w:tcW w:w="2289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外部提供产品或服务的控制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 </w:t>
            </w:r>
          </w:p>
          <w:p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6.5</w:t>
            </w:r>
          </w:p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>
            <w:r>
              <w:rPr>
                <w:rFonts w:hint="eastAsia"/>
              </w:rPr>
              <w:t>如：《外部提供的过程、产品和服务的控制程序》或</w:t>
            </w:r>
            <w:r>
              <w:rPr/>
              <w:sym w:font="Wingdings" w:char="F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从《合格供方名单》中抽取下列证据：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 xml:space="preserve">外部供方的评价和选择要求——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充分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</w:t>
            </w:r>
            <w:r>
              <w:rPr>
                <w:rFonts w:hint="eastAsia"/>
                <w:highlight w:val="none"/>
                <w:u w:val="single"/>
              </w:rPr>
              <w:t xml:space="preserve">                  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《合格供方名单 》</w:t>
            </w:r>
            <w:r>
              <w:rPr>
                <w:rFonts w:hint="eastAsia"/>
                <w:u w:val="single"/>
                <w:lang w:eastAsia="zh-CN"/>
              </w:rPr>
              <w:t>、《2021年度·供方能力（业绩）评价表》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shd w:val="clear" w:color="auto" w:fill="EBF1DE" w:themeFill="accent3" w:themeFillTint="32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EBF1DE" w:themeFill="accent3" w:themeFillTint="32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福建省莆田市晶秀轻化有限公司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EBF1DE" w:themeFill="accent3" w:themeFillTint="32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shd w:val="clear" w:color="auto" w:fill="EBF1DE" w:themeFill="accent3" w:themeFillTint="32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精选自然盐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EBF1DE" w:themeFill="accent3" w:themeFillTint="32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EBF1DE" w:themeFill="accent3" w:themeFillTint="32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913503057640660267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 SC20335030500271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供</w:t>
                  </w:r>
                  <w:r>
                    <w:t>应</w:t>
                  </w:r>
                  <w:r>
                    <w:rPr>
                      <w:rFonts w:hint="eastAsia"/>
                    </w:rPr>
                    <w:t>产品</w:t>
                  </w:r>
                  <w:r>
                    <w:t>检验报告：</w:t>
                  </w:r>
                </w:p>
                <w:p>
                  <w:r>
                    <w:rPr>
                      <w:rFonts w:hint="eastAsia"/>
                      <w:lang w:val="en-US" w:eastAsia="zh-CN"/>
                    </w:rPr>
                    <w:t>报告编号：20210131；检测单位：国家盐产品质量监督检验中心；报告日期：：检测项目：铅、总砷、镉等指标，检测依据：QB/T2446-2018；报告日期：2021-01-26；检测结论：符合要求。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EBF1DE" w:themeFill="accent3" w:themeFillTint="32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  <w:shd w:val="clear" w:color="auto" w:fill="EBF1DE" w:themeFill="accent3" w:themeFillTint="32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EBF1DE" w:themeFill="accent3" w:themeFillTint="32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  <w:shd w:val="clear" w:color="auto" w:fill="EBF1DE" w:themeFill="accent3" w:themeFillTint="32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EBF1DE" w:themeFill="accent3" w:themeFillTint="32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  <w:shd w:val="clear" w:color="auto" w:fill="EBF1DE" w:themeFill="accent3" w:themeFillTint="32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EBF1DE" w:themeFill="accent3" w:themeFillTint="32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EBF1DE" w:themeFill="accent3" w:themeFillTint="32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EBF1DE" w:themeFill="accent3" w:themeFillTint="32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EBF1DE" w:themeFill="accent3" w:themeFillTint="32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pStyle w:val="2"/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福州市台江区方向调料批发部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食用油、调味品（白醋、皇品味精、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辣椒调味油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、</w:t>
                  </w:r>
                  <w:r>
                    <w:rPr>
                      <w:rFonts w:hint="eastAsia"/>
                      <w:b w:val="0"/>
                      <w:bCs/>
                    </w:rPr>
                    <w:t>威极生抽( 酿造酱油)</w:t>
                  </w:r>
                  <w:r>
                    <w:rPr>
                      <w:rFonts w:hint="eastAsia"/>
                      <w:b w:val="0"/>
                      <w:bCs/>
                      <w:lang w:eastAsia="zh-CN"/>
                    </w:rPr>
                    <w:t>、</w:t>
                  </w:r>
                  <w:r>
                    <w:rPr>
                      <w:rFonts w:hint="eastAsia"/>
                      <w:b w:val="0"/>
                      <w:bCs/>
                      <w:lang w:val="en-US" w:eastAsia="zh-CN"/>
                    </w:rPr>
                    <w:t>辣椒酱、芝麻调和油、凤球唛番茄沙司（罐）等）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t xml:space="preserve"> 9</w:t>
                  </w:r>
                  <w:r>
                    <w:rPr>
                      <w:rFonts w:hint="eastAsia"/>
                      <w:lang w:val="en-US" w:eastAsia="zh-CN"/>
                    </w:rPr>
                    <w:t>2350103MA2YTBHE2L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经营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lang w:val="en-US" w:eastAsia="zh-CN"/>
                    </w:rPr>
                    <w:t xml:space="preserve">JY13501030017924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产品外检报告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</w:rPr>
                    <w:t>威极生抽( 酿造酱油)</w:t>
                  </w:r>
                  <w:r>
                    <w:rPr>
                      <w:rFonts w:hint="eastAsia"/>
                      <w:b w:val="0"/>
                      <w:bCs/>
                      <w:lang w:eastAsia="zh-CN"/>
                    </w:rPr>
                    <w:t>：</w:t>
                  </w:r>
                  <w:r>
                    <w:rPr>
                      <w:rFonts w:hint="eastAsia"/>
                      <w:b w:val="0"/>
                      <w:bCs/>
                    </w:rPr>
                    <w:t>检验报告</w:t>
                  </w:r>
                  <w:r>
                    <w:rPr>
                      <w:rFonts w:hint="eastAsia"/>
                      <w:b w:val="0"/>
                      <w:bCs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b w:val="0"/>
                      <w:bCs/>
                    </w:rPr>
                    <w:t>No. F21WT01526</w:t>
                  </w:r>
                  <w:r>
                    <w:rPr>
                      <w:rFonts w:hint="eastAsia"/>
                      <w:b w:val="0"/>
                      <w:bCs/>
                      <w:lang w:eastAsia="zh-CN"/>
                    </w:rPr>
                    <w:t>；</w:t>
                  </w:r>
                  <w:r>
                    <w:rPr>
                      <w:rFonts w:hint="eastAsia"/>
                      <w:b w:val="0"/>
                      <w:bCs/>
                      <w:lang w:val="en-US" w:eastAsia="zh-CN"/>
                    </w:rPr>
                    <w:t>报告日期：2021-04-08；检测项目：</w:t>
                  </w:r>
                  <w:r>
                    <w:rPr>
                      <w:rFonts w:hint="eastAsia"/>
                    </w:rPr>
                    <w:t>三氯蔗糖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黄曲霉毒素B</w:t>
                  </w:r>
                  <w:r>
                    <w:rPr>
                      <w:rFonts w:hint="eastAsia"/>
                      <w:lang w:val="en-US" w:eastAsia="zh-CN"/>
                    </w:rPr>
                    <w:t>1、</w:t>
                  </w:r>
                  <w:r>
                    <w:rPr>
                      <w:rFonts w:hint="eastAsia"/>
                    </w:rPr>
                    <w:t>总砷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铅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菌落总数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大肠菌群</w:t>
                  </w:r>
                  <w:r>
                    <w:rPr>
                      <w:rFonts w:hint="eastAsia"/>
                      <w:lang w:val="en-US" w:eastAsia="zh-CN"/>
                    </w:rPr>
                    <w:t>等；检测单位：佛山市食品药品检验检测中心；检测结论：合格。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同时抽查白醋、皇品味精、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辣椒调味油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的检测报告，结论同：威极生抽( 酿造酱油)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综合评价得分：89分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果蔬从福州海峡蔬菜批发市场采购，提供有蔬菜农残检测单，随机抽抽查2021-10-24，酶抑制率≤50%，结论合格。</w:t>
            </w:r>
          </w:p>
          <w:p>
            <w:pPr>
              <w:pStyle w:val="2"/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shd w:val="clear" w:color="auto" w:fill="EBF1DE" w:themeFill="accent3" w:themeFillTint="32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shd w:val="clear" w:color="auto" w:fill="EBF1DE" w:themeFill="accent3" w:themeFillTint="32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云南阳光食品有限公司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EBF1DE" w:themeFill="accent3" w:themeFillTint="32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shd w:val="clear" w:color="auto" w:fill="EBF1DE" w:themeFill="accent3" w:themeFillTint="32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小米辣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EBF1DE" w:themeFill="accent3" w:themeFillTint="32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  <w:shd w:val="clear" w:color="auto" w:fill="EBF1DE" w:themeFill="accent3" w:themeFillTint="32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915304212177550924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品生产许可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SC11653042104296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小米辣检测报告：报告编号：No.H-20210394；报告日期：2021-03-18；检验依据：Q/YYS0002S-2020；检验项目：铅、总砷、大肠菌群、亚硝酸盐等；检测结论：符合要求；</w:t>
                  </w:r>
                </w:p>
                <w:p>
                  <w:pPr>
                    <w:pStyle w:val="2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EBF1DE" w:themeFill="accent3" w:themeFillTint="32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  <w:shd w:val="clear" w:color="auto" w:fill="EBF1DE" w:themeFill="accent3" w:themeFillTint="32"/>
                </w:tcPr>
                <w:p>
                  <w:r>
                    <w:rPr>
                      <w:rFonts w:hint="eastAsia"/>
                    </w:rPr>
                    <w:t>综</w:t>
                  </w:r>
                  <w:r>
                    <w:t>合评</w:t>
                  </w:r>
                  <w:r>
                    <w:rPr>
                      <w:rFonts w:hint="eastAsia"/>
                    </w:rPr>
                    <w:t>定89分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EBF1DE" w:themeFill="accent3" w:themeFillTint="32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  <w:shd w:val="clear" w:color="auto" w:fill="EBF1DE" w:themeFill="accent3" w:themeFillTint="32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EBF1DE" w:themeFill="accent3" w:themeFillTint="32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  <w:shd w:val="clear" w:color="auto" w:fill="EBF1DE" w:themeFill="accent3" w:themeFillTint="32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EBF1DE" w:themeFill="accent3" w:themeFillTint="32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  <w:shd w:val="clear" w:color="auto" w:fill="EBF1DE" w:themeFill="accent3" w:themeFillTint="32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</w:tc>
            </w:tr>
          </w:tbl>
          <w:p>
            <w:pPr>
              <w:pStyle w:val="2"/>
            </w:pPr>
          </w:p>
          <w:p>
            <w:pPr>
              <w:pStyle w:val="2"/>
              <w:shd w:val="clear" w:fill="EBF1DE" w:themeFill="accent3" w:themeFillTint="32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同时还抽取了 </w:t>
            </w:r>
            <w:r>
              <w:rPr>
                <w:rFonts w:hint="eastAsia"/>
                <w:u w:val="single"/>
                <w:lang w:val="en-US" w:eastAsia="zh-CN"/>
              </w:rPr>
              <w:t>一级大豆油、四级菜籽油</w:t>
            </w:r>
            <w:r>
              <w:rPr>
                <w:rFonts w:hint="eastAsia"/>
                <w:lang w:val="en-US" w:eastAsia="zh-CN"/>
              </w:rPr>
              <w:t xml:space="preserve">的供方 </w:t>
            </w:r>
            <w:r>
              <w:rPr>
                <w:rFonts w:hint="eastAsia"/>
                <w:u w:val="single"/>
                <w:lang w:val="en-US" w:eastAsia="zh-CN"/>
              </w:rPr>
              <w:t>福建春添粮油食品有限公司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蔬菜 </w:t>
            </w:r>
            <w:r>
              <w:rPr>
                <w:rFonts w:hint="eastAsia"/>
                <w:lang w:val="en-US" w:eastAsia="zh-CN"/>
              </w:rPr>
              <w:t xml:space="preserve">的供方 </w:t>
            </w:r>
            <w:r>
              <w:rPr>
                <w:rFonts w:hint="eastAsia"/>
                <w:u w:val="single"/>
                <w:lang w:val="en-US" w:eastAsia="zh-CN"/>
              </w:rPr>
              <w:t>福州海峡蔬菜批发市场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大米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福州米享福益民米业有限公司</w:t>
            </w:r>
            <w:r>
              <w:rPr>
                <w:rFonts w:hint="eastAsia"/>
                <w:u w:val="none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猪肉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台江区小潘誉达猪肉店；与上述供方结论一致。</w:t>
            </w:r>
          </w:p>
          <w:p>
            <w:pPr>
              <w:pStyle w:val="2"/>
              <w:shd w:val="clear" w:fill="EBF1DE" w:themeFill="accent3" w:themeFillTint="3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shd w:val="clear" w:fill="EBF1DE" w:themeFill="accent3" w:themeFillTint="3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shd w:val="clear" w:fill="EBF1DE" w:themeFill="accent3" w:themeFillTint="3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shd w:val="clear" w:fill="EBF1DE" w:themeFill="accent3" w:themeFillTint="32"/>
              <w:rPr>
                <w:rFonts w:hint="default"/>
                <w:lang w:val="en-US" w:eastAsia="zh-CN"/>
              </w:rPr>
            </w:pPr>
          </w:p>
          <w:p>
            <w:pPr>
              <w:shd w:val="clear" w:fill="EBF1DE" w:themeFill="accent3" w:themeFillTint="32"/>
            </w:pPr>
            <w:r>
              <w:rPr>
                <w:rFonts w:hint="eastAsia"/>
              </w:rPr>
              <w:t>原辅料、食品包装材料验收要求：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8"/>
              <w:gridCol w:w="2078"/>
              <w:gridCol w:w="3244"/>
              <w:gridCol w:w="22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8" w:type="dxa"/>
                </w:tcPr>
                <w:p>
                  <w:pPr>
                    <w:shd w:val="clear" w:fill="EBF1DE" w:themeFill="accent3" w:themeFillTint="32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2078" w:type="dxa"/>
                </w:tcPr>
                <w:p>
                  <w:pPr>
                    <w:shd w:val="clear" w:fill="EBF1DE" w:themeFill="accent3" w:themeFillTint="32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3244" w:type="dxa"/>
                </w:tcPr>
                <w:p>
                  <w:pPr>
                    <w:shd w:val="clear" w:fill="EBF1DE" w:themeFill="accent3" w:themeFillTint="32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验收要求或规范文件名称</w:t>
                  </w:r>
                </w:p>
              </w:tc>
              <w:tc>
                <w:tcPr>
                  <w:tcW w:w="2243" w:type="dxa"/>
                </w:tcPr>
                <w:p>
                  <w:pPr>
                    <w:shd w:val="clear" w:fill="EBF1DE" w:themeFill="accent3" w:themeFillTint="32"/>
                  </w:pPr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8" w:type="dxa"/>
                </w:tcPr>
                <w:p>
                  <w:pPr>
                    <w:shd w:val="clear" w:fill="EBF1DE" w:themeFill="accent3" w:themeFillTint="32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原材料检验</w:t>
                  </w:r>
                </w:p>
              </w:tc>
              <w:tc>
                <w:tcPr>
                  <w:tcW w:w="2078" w:type="dxa"/>
                </w:tcPr>
                <w:p>
                  <w:pPr>
                    <w:shd w:val="clear" w:fill="EBF1DE" w:themeFill="accent3" w:themeFillTint="32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3244" w:type="dxa"/>
                </w:tcPr>
                <w:p>
                  <w:pPr>
                    <w:shd w:val="clear" w:fill="EBF1DE" w:themeFill="accent3" w:themeFillTint="32"/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按《食堂食品安全管理制度》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执行</w:t>
                  </w:r>
                </w:p>
              </w:tc>
              <w:tc>
                <w:tcPr>
                  <w:tcW w:w="2243" w:type="dxa"/>
                </w:tcPr>
                <w:p>
                  <w:pPr>
                    <w:shd w:val="clear" w:fill="EBF1DE" w:themeFill="accent3" w:themeFillTint="32"/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8" w:type="dxa"/>
                </w:tcPr>
                <w:p>
                  <w:pPr>
                    <w:shd w:val="clear" w:fill="EBF1DE" w:themeFill="accent3" w:themeFillTint="32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辅料检验</w:t>
                  </w:r>
                </w:p>
              </w:tc>
              <w:tc>
                <w:tcPr>
                  <w:tcW w:w="2078" w:type="dxa"/>
                </w:tcPr>
                <w:p>
                  <w:pPr>
                    <w:shd w:val="clear" w:fill="EBF1DE" w:themeFill="accent3" w:themeFillTint="32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3244" w:type="dxa"/>
                </w:tcPr>
                <w:p>
                  <w:pPr>
                    <w:shd w:val="clear" w:fill="EBF1DE" w:themeFill="accent3" w:themeFillTint="32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按《食堂食品安全管理制度》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执行</w:t>
                  </w:r>
                </w:p>
                <w:p>
                  <w:pPr>
                    <w:shd w:val="clear" w:fill="EBF1DE" w:themeFill="accent3" w:themeFillTint="32"/>
                    <w:rPr>
                      <w:szCs w:val="21"/>
                    </w:rPr>
                  </w:pPr>
                </w:p>
              </w:tc>
              <w:tc>
                <w:tcPr>
                  <w:tcW w:w="2243" w:type="dxa"/>
                </w:tcPr>
                <w:p>
                  <w:pPr>
                    <w:shd w:val="clear" w:fill="EBF1DE" w:themeFill="accent3" w:themeFillTint="32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8" w:type="dxa"/>
                </w:tcPr>
                <w:p>
                  <w:pPr>
                    <w:shd w:val="clear" w:fill="EBF1DE" w:themeFill="accent3" w:themeFillTint="32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食品添加剂检验</w:t>
                  </w:r>
                </w:p>
              </w:tc>
              <w:tc>
                <w:tcPr>
                  <w:tcW w:w="2078" w:type="dxa"/>
                </w:tcPr>
                <w:p>
                  <w:pPr>
                    <w:shd w:val="clear" w:fill="EBF1DE" w:themeFill="accent3" w:themeFillTint="32"/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3244" w:type="dxa"/>
                </w:tcPr>
                <w:p>
                  <w:pPr>
                    <w:shd w:val="clear" w:fill="EBF1DE" w:themeFill="accent3" w:themeFillTint="32"/>
                    <w:rPr>
                      <w:szCs w:val="21"/>
                    </w:rPr>
                  </w:pPr>
                </w:p>
              </w:tc>
              <w:tc>
                <w:tcPr>
                  <w:tcW w:w="2243" w:type="dxa"/>
                </w:tcPr>
                <w:p>
                  <w:pPr>
                    <w:shd w:val="clear" w:fill="EBF1DE" w:themeFill="accent3" w:themeFillTint="32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8" w:type="dxa"/>
                </w:tcPr>
                <w:p>
                  <w:pPr>
                    <w:shd w:val="clear" w:fill="EBF1DE" w:themeFill="accent3" w:themeFillTint="32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食品包装材料</w:t>
                  </w:r>
                </w:p>
              </w:tc>
              <w:tc>
                <w:tcPr>
                  <w:tcW w:w="2078" w:type="dxa"/>
                </w:tcPr>
                <w:p>
                  <w:pPr>
                    <w:shd w:val="clear" w:fill="EBF1DE" w:themeFill="accent3" w:themeFillTint="32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——</w:t>
                  </w:r>
                </w:p>
              </w:tc>
              <w:tc>
                <w:tcPr>
                  <w:tcW w:w="3244" w:type="dxa"/>
                </w:tcPr>
                <w:p>
                  <w:pPr>
                    <w:shd w:val="clear" w:fill="EBF1DE" w:themeFill="accent3" w:themeFillTint="32"/>
                    <w:rPr>
                      <w:color w:val="auto"/>
                    </w:rPr>
                  </w:pPr>
                </w:p>
              </w:tc>
              <w:tc>
                <w:tcPr>
                  <w:tcW w:w="2243" w:type="dxa"/>
                </w:tcPr>
                <w:p>
                  <w:pPr>
                    <w:shd w:val="clear" w:fill="EBF1DE" w:themeFill="accent3" w:themeFillTint="32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  <w:color w:val="auto"/>
                    </w:rPr>
                    <w:t xml:space="preserve">符合 </w:t>
                  </w: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8" w:type="dxa"/>
                </w:tcPr>
                <w:p>
                  <w:pPr>
                    <w:shd w:val="clear" w:fill="EBF1DE" w:themeFill="accent3" w:themeFillTint="32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服务放行</w:t>
                  </w:r>
                </w:p>
              </w:tc>
              <w:tc>
                <w:tcPr>
                  <w:tcW w:w="2078" w:type="dxa"/>
                </w:tcPr>
                <w:p>
                  <w:pPr>
                    <w:shd w:val="clear" w:fill="EBF1DE" w:themeFill="accent3" w:themeFillTint="32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——</w:t>
                  </w:r>
                </w:p>
              </w:tc>
              <w:tc>
                <w:tcPr>
                  <w:tcW w:w="3244" w:type="dxa"/>
                </w:tcPr>
                <w:p>
                  <w:pPr>
                    <w:shd w:val="clear" w:fill="EBF1DE" w:themeFill="accent3" w:themeFillTint="32"/>
                    <w:rPr>
                      <w:color w:val="auto"/>
                    </w:rPr>
                  </w:pPr>
                </w:p>
              </w:tc>
              <w:tc>
                <w:tcPr>
                  <w:tcW w:w="2243" w:type="dxa"/>
                </w:tcPr>
                <w:p>
                  <w:pPr>
                    <w:shd w:val="clear" w:fill="EBF1DE" w:themeFill="accent3" w:themeFillTint="32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 xml:space="preserve">符合 </w:t>
                  </w:r>
                  <w:r>
                    <w:rPr>
                      <w:rFonts w:hint="eastAsia"/>
                      <w:color w:val="auto"/>
                      <w:szCs w:val="21"/>
                    </w:rPr>
                    <w:t>□</w:t>
                  </w:r>
                  <w:r>
                    <w:rPr>
                      <w:rFonts w:hint="eastAsia"/>
                      <w:color w:val="auto"/>
                    </w:rPr>
                    <w:t>不符合</w:t>
                  </w:r>
                </w:p>
              </w:tc>
            </w:tr>
          </w:tbl>
          <w:p>
            <w:pPr>
              <w:shd w:val="clear" w:fill="EBF1DE" w:themeFill="accent3" w:themeFillTint="32"/>
            </w:pPr>
          </w:p>
          <w:p>
            <w:pPr>
              <w:shd w:val="clear" w:fill="EBF1DE" w:themeFill="accent3" w:themeFillTint="32"/>
            </w:pPr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观察</w:t>
            </w:r>
          </w:p>
        </w:tc>
        <w:tc>
          <w:tcPr>
            <w:tcW w:w="9213" w:type="dxa"/>
            <w:shd w:val="clear" w:color="auto" w:fill="auto"/>
          </w:tcPr>
          <w:p>
            <w:pPr>
              <w:shd w:val="clear" w:fill="EBF1DE" w:themeFill="accent3" w:themeFillTint="32"/>
            </w:pPr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shd w:val="clear" w:fill="EBF1DE" w:themeFill="accent3" w:themeFillTint="32"/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                  </w:t>
            </w:r>
          </w:p>
          <w:p>
            <w:pPr>
              <w:pStyle w:val="2"/>
              <w:shd w:val="clear" w:fill="EBF1DE" w:themeFill="accent3" w:themeFillTint="3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库房有直接存放在地上的食材，已现场沟通。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400E2"/>
    <w:rsid w:val="00046B29"/>
    <w:rsid w:val="000529DE"/>
    <w:rsid w:val="00053433"/>
    <w:rsid w:val="00062E46"/>
    <w:rsid w:val="00076568"/>
    <w:rsid w:val="00083BA1"/>
    <w:rsid w:val="00090A2E"/>
    <w:rsid w:val="00094A09"/>
    <w:rsid w:val="000A0E95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2D43"/>
    <w:rsid w:val="00227EA7"/>
    <w:rsid w:val="0023207B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67C2"/>
    <w:rsid w:val="00337922"/>
    <w:rsid w:val="00340867"/>
    <w:rsid w:val="00347128"/>
    <w:rsid w:val="003577AF"/>
    <w:rsid w:val="00372682"/>
    <w:rsid w:val="0037346E"/>
    <w:rsid w:val="00380837"/>
    <w:rsid w:val="00387D8C"/>
    <w:rsid w:val="00390F88"/>
    <w:rsid w:val="00393DB8"/>
    <w:rsid w:val="003974A1"/>
    <w:rsid w:val="003A1420"/>
    <w:rsid w:val="003A1651"/>
    <w:rsid w:val="003A198A"/>
    <w:rsid w:val="003A430D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500E34"/>
    <w:rsid w:val="005063D1"/>
    <w:rsid w:val="005075FC"/>
    <w:rsid w:val="00527E7A"/>
    <w:rsid w:val="00527ED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74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41514"/>
    <w:rsid w:val="00751B8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50112"/>
    <w:rsid w:val="009558AB"/>
    <w:rsid w:val="009710A4"/>
    <w:rsid w:val="00971600"/>
    <w:rsid w:val="00993002"/>
    <w:rsid w:val="009973B4"/>
    <w:rsid w:val="00997D7E"/>
    <w:rsid w:val="009C0C68"/>
    <w:rsid w:val="009C28C1"/>
    <w:rsid w:val="009D1C39"/>
    <w:rsid w:val="009D560D"/>
    <w:rsid w:val="009E3837"/>
    <w:rsid w:val="009F355A"/>
    <w:rsid w:val="009F4716"/>
    <w:rsid w:val="009F7EED"/>
    <w:rsid w:val="00A00C1B"/>
    <w:rsid w:val="00A01DA2"/>
    <w:rsid w:val="00A03D08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7F47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E09DB"/>
    <w:rsid w:val="00DE580A"/>
    <w:rsid w:val="00DE68AE"/>
    <w:rsid w:val="00DF3797"/>
    <w:rsid w:val="00E10F37"/>
    <w:rsid w:val="00E11177"/>
    <w:rsid w:val="00E25357"/>
    <w:rsid w:val="00E27C2C"/>
    <w:rsid w:val="00E30139"/>
    <w:rsid w:val="00E40EAB"/>
    <w:rsid w:val="00E43AC1"/>
    <w:rsid w:val="00E446DE"/>
    <w:rsid w:val="00E50F82"/>
    <w:rsid w:val="00E53C08"/>
    <w:rsid w:val="00E55708"/>
    <w:rsid w:val="00E6224C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63434"/>
    <w:rsid w:val="00F636CA"/>
    <w:rsid w:val="00F63B67"/>
    <w:rsid w:val="00F7303B"/>
    <w:rsid w:val="00F806C0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F3D52"/>
    <w:rsid w:val="00FF6C4D"/>
    <w:rsid w:val="01260C71"/>
    <w:rsid w:val="0148246F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D17EE5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D91F57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6">
    <w:name w:val="标题 1 字符"/>
    <w:basedOn w:val="9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DB151B-FA20-4AFF-AB34-91E43C6F74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652</Words>
  <Characters>3723</Characters>
  <Lines>31</Lines>
  <Paragraphs>8</Paragraphs>
  <TotalTime>2</TotalTime>
  <ScaleCrop>false</ScaleCrop>
  <LinksUpToDate>false</LinksUpToDate>
  <CharactersWithSpaces>4367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肖新龙</cp:lastModifiedBy>
  <dcterms:modified xsi:type="dcterms:W3CDTF">2021-11-15T15:49:24Z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E4F3991E5B9244B69922330F79640E1E</vt:lpwstr>
  </property>
</Properties>
</file>