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0999-2021-Q</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石家庄市纳其尔日化有限公司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2021年10月02日 上午至2021年10月02日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hint="eastAsia"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r>
              <w:rPr>
                <w:rFonts w:hint="eastAsia" w:ascii="宋体"/>
                <w:b/>
                <w:color w:val="000000"/>
                <w:szCs w:val="21"/>
              </w:rPr>
              <w:t>管理体系策划及运行，</w:t>
            </w:r>
          </w:p>
          <w:p>
            <w:pPr>
              <w:rPr>
                <w:rFonts w:ascii="宋体"/>
                <w:b/>
                <w:color w:val="000000"/>
                <w:szCs w:val="21"/>
              </w:rPr>
            </w:pPr>
            <w:r>
              <w:rPr>
                <w:rFonts w:hint="eastAsia" w:ascii="宋体"/>
                <w:b/>
                <w:color w:val="000000"/>
                <w:szCs w:val="21"/>
              </w:rPr>
              <w:t>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11"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0" w:name="Q勾选Add2"/>
            <w:r>
              <w:rPr>
                <w:rFonts w:hint="eastAsia" w:ascii="宋体" w:hAnsi="宋体"/>
                <w:b/>
                <w:color w:val="000000"/>
                <w:szCs w:val="21"/>
                <w:lang w:val="de-DE"/>
              </w:rPr>
              <w:t>■</w:t>
            </w:r>
            <w:bookmarkEnd w:id="10"/>
            <w:r>
              <w:rPr>
                <w:rFonts w:hint="eastAsia" w:ascii="宋体" w:hAnsi="宋体"/>
                <w:b/>
                <w:color w:val="000000"/>
                <w:szCs w:val="21"/>
                <w:lang w:val="de-DE"/>
              </w:rPr>
              <w:t>GB/T19001-2016</w:t>
            </w:r>
            <w:bookmarkStart w:id="11" w:name="QJ勾选Add2"/>
            <w:r>
              <w:rPr>
                <w:rFonts w:hint="eastAsia" w:ascii="宋体" w:hAnsi="宋体"/>
                <w:b/>
                <w:color w:val="000000"/>
                <w:szCs w:val="21"/>
                <w:lang w:val="de-DE"/>
              </w:rPr>
              <w:t>□</w:t>
            </w:r>
            <w:bookmarkEnd w:id="11"/>
            <w:r>
              <w:rPr>
                <w:rFonts w:hint="eastAsia" w:ascii="宋体" w:hAnsi="宋体"/>
                <w:b/>
                <w:color w:val="000000"/>
                <w:szCs w:val="21"/>
                <w:lang w:val="de-DE"/>
              </w:rPr>
              <w:t>GB/T 50430-2017</w:t>
            </w:r>
            <w:bookmarkStart w:id="12" w:name="E勾选Add2"/>
            <w:r>
              <w:rPr>
                <w:rFonts w:hint="eastAsia" w:ascii="宋体" w:hAnsi="宋体"/>
                <w:b/>
                <w:color w:val="000000"/>
                <w:szCs w:val="21"/>
                <w:lang w:val="de-DE"/>
              </w:rPr>
              <w:t>□</w:t>
            </w:r>
            <w:bookmarkEnd w:id="12"/>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3" w:name="S勾选Add2"/>
            <w:r>
              <w:rPr>
                <w:rFonts w:hint="eastAsia" w:ascii="宋体" w:hAnsi="宋体"/>
                <w:b/>
                <w:color w:val="000000"/>
                <w:szCs w:val="21"/>
                <w:lang w:val="de-DE"/>
              </w:rPr>
              <w:t>□</w:t>
            </w:r>
            <w:bookmarkEnd w:id="13"/>
            <w:r>
              <w:rPr>
                <w:rFonts w:hint="eastAsia" w:ascii="宋体" w:hAnsi="宋体"/>
                <w:b/>
                <w:color w:val="000000"/>
                <w:szCs w:val="21"/>
                <w:lang w:val="de-DE"/>
              </w:rPr>
              <w:t>ISO45001：2018</w:t>
            </w:r>
          </w:p>
          <w:p>
            <w:pPr>
              <w:rPr>
                <w:rFonts w:ascii="宋体" w:hAnsi="宋体"/>
                <w:b/>
                <w:color w:val="000000"/>
                <w:szCs w:val="21"/>
                <w:lang w:val="de-DE"/>
              </w:rPr>
            </w:pPr>
            <w:bookmarkStart w:id="14" w:name="EnMS勾选Add2"/>
            <w:r>
              <w:rPr>
                <w:rFonts w:hint="eastAsia" w:ascii="宋体" w:hAnsi="宋体"/>
                <w:b/>
                <w:color w:val="000000"/>
                <w:szCs w:val="21"/>
                <w:lang w:val="de-DE"/>
              </w:rPr>
              <w:t>□</w:t>
            </w:r>
            <w:bookmarkEnd w:id="14"/>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15" w:name="F勾选Add2"/>
            <w:r>
              <w:rPr>
                <w:rFonts w:hint="eastAsia" w:ascii="宋体" w:hAnsi="宋体"/>
                <w:b/>
                <w:color w:val="000000"/>
                <w:szCs w:val="21"/>
                <w:lang w:val="de-DE"/>
              </w:rPr>
              <w:t>□</w:t>
            </w:r>
            <w:bookmarkEnd w:id="15"/>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16" w:name="H勾选Add2"/>
            <w:r>
              <w:rPr>
                <w:rFonts w:hint="eastAsia" w:ascii="宋体" w:hAnsi="宋体"/>
                <w:b/>
                <w:color w:val="000000"/>
                <w:szCs w:val="21"/>
                <w:lang w:val="de-DE"/>
              </w:rPr>
              <w:t>□</w:t>
            </w:r>
            <w:bookmarkEnd w:id="16"/>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w:t>
            </w:r>
          </w:p>
        </w:tc>
        <w:tc>
          <w:tcPr>
            <w:tcW w:w="7431" w:type="dxa"/>
            <w:tcMar>
              <w:left w:w="113" w:type="dxa"/>
            </w:tcMar>
          </w:tcPr>
          <w:p>
            <w:pPr>
              <w:rPr>
                <w:rFonts w:ascii="宋体"/>
                <w:b/>
                <w:color w:val="0000FF"/>
                <w:szCs w:val="21"/>
              </w:rPr>
            </w:pPr>
            <w:r>
              <w:rPr>
                <w:sz w:val="21"/>
                <w:szCs w:val="21"/>
              </w:rPr>
              <w:t>河北深泽经济开发区魏村西九线551号</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2019-N1QMS-3022240</w:t>
            </w:r>
          </w:p>
        </w:tc>
        <w:tc>
          <w:tcPr>
            <w:tcW w:w="1140" w:type="dxa"/>
            <w:vAlign w:val="center"/>
          </w:tcPr>
          <w:p>
            <w:pPr>
              <w:spacing w:line="240" w:lineRule="exact"/>
              <w:jc w:val="center"/>
              <w:rPr>
                <w:b/>
                <w:color w:val="000000"/>
                <w:szCs w:val="21"/>
              </w:rPr>
            </w:pPr>
            <w:r>
              <w:rPr>
                <w:b/>
                <w:color w:val="000000"/>
                <w:szCs w:val="21"/>
              </w:rPr>
              <w:t>12.04.01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7" w:name="组织名称Add1"/>
            <w:r>
              <w:rPr>
                <w:rFonts w:ascii="宋体"/>
                <w:b/>
                <w:color w:val="000000"/>
                <w:szCs w:val="21"/>
              </w:rPr>
              <w:t>石家庄市纳其尔日化有限公司</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8" w:name="注册地址"/>
            <w:r>
              <w:rPr>
                <w:rFonts w:ascii="宋体"/>
                <w:b/>
                <w:color w:val="000000"/>
                <w:szCs w:val="21"/>
              </w:rPr>
              <w:t>河北深泽经济开发区魏村西九线551号</w:t>
            </w:r>
            <w:bookmarkEnd w:id="18"/>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19" w:name="注册邮编"/>
            <w:r>
              <w:rPr>
                <w:rFonts w:ascii="宋体"/>
                <w:b/>
                <w:color w:val="000000"/>
                <w:szCs w:val="21"/>
              </w:rPr>
              <w:t>050000</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0" w:name="生产地址"/>
            <w:bookmarkStart w:id="21" w:name="办公地址"/>
            <w:r>
              <w:rPr>
                <w:rFonts w:ascii="宋体"/>
                <w:b/>
                <w:color w:val="000000"/>
                <w:szCs w:val="21"/>
              </w:rPr>
              <w:t>河北深泽经济开发区魏村西九线551号</w:t>
            </w:r>
            <w:bookmarkEnd w:id="20"/>
            <w:bookmarkEnd w:id="21"/>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2" w:name="办公邮编"/>
            <w:r>
              <w:rPr>
                <w:rFonts w:ascii="宋体"/>
                <w:b/>
                <w:color w:val="000000"/>
                <w:szCs w:val="21"/>
              </w:rPr>
              <w:t>050000</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3" w:name="联系人"/>
            <w:r>
              <w:rPr>
                <w:rFonts w:ascii="宋体"/>
                <w:b/>
                <w:color w:val="000000"/>
                <w:szCs w:val="21"/>
              </w:rPr>
              <w:t>张建英</w:t>
            </w:r>
            <w:bookmarkEnd w:id="23"/>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4" w:name="联系人手机"/>
            <w:r>
              <w:rPr>
                <w:rFonts w:ascii="宋体"/>
                <w:b/>
                <w:color w:val="000000"/>
                <w:szCs w:val="21"/>
              </w:rPr>
              <w:t>13473772988</w:t>
            </w:r>
            <w:bookmarkEnd w:id="24"/>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5" w:name="联系人传真"/>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6" w:name="法人"/>
            <w:r>
              <w:rPr>
                <w:rFonts w:ascii="宋体"/>
                <w:b/>
                <w:color w:val="000000"/>
                <w:szCs w:val="21"/>
              </w:rPr>
              <w:t>王士其</w:t>
            </w:r>
            <w:bookmarkEnd w:id="26"/>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7" w:name="管理者代表"/>
            <w:r>
              <w:rPr>
                <w:rFonts w:ascii="宋体"/>
                <w:b/>
                <w:color w:val="000000"/>
                <w:szCs w:val="21"/>
              </w:rPr>
              <w:t>张建英</w:t>
            </w:r>
            <w:bookmarkEnd w:id="27"/>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28" w:name="审核范围"/>
            <w:r>
              <w:t>肥皂、洗涤剂、消毒剂的制造及销售（危险化学品除外）</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0"/>
              </w:tabs>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rPr>
              <w:t>肥皂</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皂基+助剂（香精、颜料等）—</w:t>
            </w:r>
            <w:r>
              <w:rPr>
                <w:rFonts w:hint="eastAsia" w:ascii="宋体" w:hAnsi="宋体" w:eastAsia="宋体" w:cs="Times New Roman"/>
                <w:color w:val="000000"/>
                <w:szCs w:val="21"/>
              </w:rPr>
              <w:t>配料</w:t>
            </w:r>
            <w:r>
              <w:rPr>
                <w:rFonts w:hint="eastAsia" w:ascii="宋体" w:hAnsi="宋体" w:eastAsia="宋体" w:cs="Times New Roman"/>
                <w:color w:val="000000"/>
                <w:szCs w:val="21"/>
                <w:lang w:val="en-US" w:eastAsia="zh-CN"/>
              </w:rPr>
              <w:t>—混合搅拌——压制——挤出成型——切割——包装</w:t>
            </w:r>
          </w:p>
          <w:p>
            <w:pPr>
              <w:tabs>
                <w:tab w:val="left" w:pos="0"/>
              </w:tabs>
              <w:rPr>
                <w:rFonts w:ascii="宋体"/>
                <w:color w:val="000000"/>
                <w:szCs w:val="21"/>
              </w:rPr>
            </w:pPr>
            <w:r>
              <w:rPr>
                <w:rFonts w:hint="eastAsia" w:ascii="宋体" w:hAnsi="宋体" w:eastAsia="宋体" w:cs="Times New Roman"/>
                <w:color w:val="000000"/>
                <w:szCs w:val="21"/>
              </w:rPr>
              <w:t>洗涤剂</w:t>
            </w:r>
            <w:r>
              <w:rPr>
                <w:rFonts w:hint="eastAsia" w:ascii="宋体" w:hAnsi="宋体" w:eastAsia="宋体" w:cs="Times New Roman"/>
                <w:color w:val="000000"/>
                <w:szCs w:val="21"/>
                <w:lang w:val="en-US" w:eastAsia="zh-CN"/>
              </w:rPr>
              <w:t>/</w:t>
            </w:r>
            <w:r>
              <w:rPr>
                <w:rFonts w:hint="eastAsia" w:ascii="宋体" w:hAnsi="宋体" w:eastAsia="宋体" w:cs="Times New Roman"/>
                <w:color w:val="000000"/>
                <w:szCs w:val="21"/>
              </w:rPr>
              <w:t>消毒剂</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原料/辅料—配料—搅拌（过滤）—罐装—喷码—成品包装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hint="eastAsia" w:ascii="宋体" w:eastAsia="宋体"/>
                <w:b/>
                <w:color w:val="000000"/>
                <w:spacing w:val="-10"/>
                <w:szCs w:val="21"/>
                <w:lang w:val="en-US" w:eastAsia="zh-CN"/>
              </w:rPr>
            </w:pPr>
            <w:r>
              <w:rPr>
                <w:rFonts w:hint="eastAsia" w:ascii="宋体" w:hAnsi="宋体"/>
                <w:b/>
                <w:color w:val="000000"/>
                <w:szCs w:val="21"/>
              </w:rPr>
              <w:t>确认受审核方管理体系覆盖的查产品范围与现场运作情况是否一致；</w:t>
            </w:r>
            <w:r>
              <w:rPr>
                <w:rFonts w:hint="eastAsia" w:ascii="宋体" w:hAnsi="宋体"/>
                <w:b/>
                <w:color w:val="00000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肥皂、洗涤剂、消毒剂的制造及销售（危险化学品除外）</w:t>
            </w:r>
          </w:p>
        </w:tc>
        <w:tc>
          <w:tcPr>
            <w:tcW w:w="2006" w:type="dxa"/>
            <w:gridSpan w:val="3"/>
            <w:vAlign w:val="center"/>
          </w:tcPr>
          <w:p>
            <w:pPr>
              <w:spacing w:line="400" w:lineRule="exact"/>
              <w:rPr>
                <w:rFonts w:ascii="宋体" w:hAnsi="宋体"/>
                <w:b/>
                <w:color w:val="000000"/>
                <w:szCs w:val="21"/>
              </w:rPr>
            </w:pPr>
            <w:bookmarkStart w:id="29" w:name="专业代码"/>
            <w:r>
              <w:t>12.04.01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777"/>
        <w:gridCol w:w="609"/>
        <w:gridCol w:w="2191"/>
        <w:gridCol w:w="173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77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0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191" w:type="dxa"/>
            <w:shd w:val="clear" w:color="auto" w:fill="F3F3F3"/>
            <w:tcMar>
              <w:left w:w="57" w:type="dxa"/>
              <w:right w:w="57" w:type="dxa"/>
            </w:tcMar>
          </w:tcPr>
          <w:p>
            <w:pPr>
              <w:pStyle w:val="21"/>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33"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石家庄市纳其尔日化有限公司</w:t>
            </w:r>
            <w:r>
              <w:rPr>
                <w:rFonts w:hint="eastAsia"/>
                <w:sz w:val="21"/>
                <w:szCs w:val="21"/>
                <w:lang w:val="en-US" w:eastAsia="zh-CN"/>
              </w:rPr>
              <w:t>/</w:t>
            </w:r>
            <w:r>
              <w:rPr>
                <w:sz w:val="21"/>
                <w:szCs w:val="21"/>
              </w:rPr>
              <w:t>河北深泽经济开发区魏村西九线551号</w:t>
            </w:r>
          </w:p>
        </w:tc>
        <w:tc>
          <w:tcPr>
            <w:tcW w:w="1777" w:type="dxa"/>
          </w:tcPr>
          <w:p>
            <w:pPr>
              <w:spacing w:before="40" w:after="40"/>
              <w:rPr>
                <w:rFonts w:eastAsia="黑体"/>
                <w:szCs w:val="21"/>
                <w:lang w:val="de-DE" w:eastAsia="ja-JP"/>
              </w:rPr>
            </w:pPr>
            <w:r>
              <w:rPr>
                <w:sz w:val="21"/>
                <w:szCs w:val="21"/>
              </w:rPr>
              <w:t>河北深泽经济开发区魏村西九线551号</w:t>
            </w:r>
          </w:p>
        </w:tc>
        <w:tc>
          <w:tcPr>
            <w:tcW w:w="609"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191" w:type="dxa"/>
            <w:vAlign w:val="center"/>
          </w:tcPr>
          <w:p>
            <w:pPr>
              <w:pStyle w:val="19"/>
              <w:rPr>
                <w:rFonts w:eastAsia="黑体" w:cs="Arial"/>
                <w:sz w:val="21"/>
                <w:szCs w:val="21"/>
                <w:lang w:val="en-US" w:eastAsia="ja-JP"/>
              </w:rPr>
            </w:pPr>
            <w:r>
              <w:t>肥皂、洗涤剂、消毒剂的制造及销售（危险化学品除外）</w:t>
            </w:r>
          </w:p>
        </w:tc>
        <w:tc>
          <w:tcPr>
            <w:tcW w:w="1733" w:type="dxa"/>
            <w:vAlign w:val="center"/>
          </w:tcPr>
          <w:p>
            <w:pPr>
              <w:spacing w:before="40" w:after="40"/>
              <w:rPr>
                <w:rFonts w:hint="default" w:eastAsia="黑体"/>
                <w:szCs w:val="21"/>
                <w:lang w:val="en-US" w:eastAsia="zh-CN"/>
              </w:rPr>
            </w:pPr>
            <w:r>
              <w:rPr>
                <w:rFonts w:hint="eastAsia" w:eastAsia="黑体"/>
                <w:szCs w:val="21"/>
                <w:lang w:val="en-US" w:eastAsia="zh-CN"/>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777" w:type="dxa"/>
            <w:vAlign w:val="center"/>
          </w:tcPr>
          <w:p>
            <w:pPr>
              <w:spacing w:before="40" w:after="40"/>
              <w:rPr>
                <w:rFonts w:eastAsia="黑体"/>
                <w:szCs w:val="21"/>
                <w:lang w:eastAsia="ja-JP"/>
              </w:rPr>
            </w:pPr>
          </w:p>
        </w:tc>
        <w:tc>
          <w:tcPr>
            <w:tcW w:w="609" w:type="dxa"/>
            <w:vAlign w:val="center"/>
          </w:tcPr>
          <w:p>
            <w:pPr>
              <w:spacing w:before="40" w:after="40"/>
              <w:rPr>
                <w:rFonts w:eastAsia="黑体"/>
                <w:szCs w:val="21"/>
                <w:lang w:eastAsia="ja-JP"/>
              </w:rPr>
            </w:pPr>
          </w:p>
        </w:tc>
        <w:tc>
          <w:tcPr>
            <w:tcW w:w="2191" w:type="dxa"/>
            <w:vAlign w:val="center"/>
          </w:tcPr>
          <w:p>
            <w:pPr>
              <w:spacing w:before="40" w:after="40"/>
              <w:rPr>
                <w:rFonts w:eastAsia="黑体"/>
                <w:szCs w:val="21"/>
                <w:lang w:eastAsia="ja-JP"/>
              </w:rPr>
            </w:pPr>
          </w:p>
        </w:tc>
        <w:tc>
          <w:tcPr>
            <w:tcW w:w="1733"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777" w:type="dxa"/>
            <w:vAlign w:val="center"/>
          </w:tcPr>
          <w:p>
            <w:pPr>
              <w:spacing w:before="40" w:after="40"/>
              <w:rPr>
                <w:rFonts w:eastAsia="黑体"/>
                <w:szCs w:val="21"/>
                <w:lang w:eastAsia="ja-JP"/>
              </w:rPr>
            </w:pPr>
          </w:p>
        </w:tc>
        <w:tc>
          <w:tcPr>
            <w:tcW w:w="609" w:type="dxa"/>
            <w:vAlign w:val="center"/>
          </w:tcPr>
          <w:p>
            <w:pPr>
              <w:spacing w:before="40" w:after="40"/>
              <w:rPr>
                <w:rFonts w:eastAsia="黑体"/>
                <w:szCs w:val="21"/>
                <w:lang w:eastAsia="ja-JP"/>
              </w:rPr>
            </w:pPr>
          </w:p>
        </w:tc>
        <w:tc>
          <w:tcPr>
            <w:tcW w:w="2191" w:type="dxa"/>
            <w:vAlign w:val="center"/>
          </w:tcPr>
          <w:p>
            <w:pPr>
              <w:spacing w:before="40" w:after="40"/>
              <w:rPr>
                <w:rFonts w:eastAsia="黑体"/>
                <w:szCs w:val="21"/>
                <w:lang w:eastAsia="ja-JP"/>
              </w:rPr>
            </w:pPr>
          </w:p>
        </w:tc>
        <w:tc>
          <w:tcPr>
            <w:tcW w:w="1733"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777" w:type="dxa"/>
            <w:vAlign w:val="center"/>
          </w:tcPr>
          <w:p>
            <w:pPr>
              <w:spacing w:before="40" w:after="40"/>
              <w:rPr>
                <w:rFonts w:eastAsia="黑体"/>
                <w:szCs w:val="21"/>
                <w:lang w:eastAsia="ja-JP"/>
              </w:rPr>
            </w:pPr>
          </w:p>
        </w:tc>
        <w:tc>
          <w:tcPr>
            <w:tcW w:w="609" w:type="dxa"/>
            <w:vAlign w:val="center"/>
          </w:tcPr>
          <w:p>
            <w:pPr>
              <w:spacing w:before="40" w:after="40"/>
              <w:rPr>
                <w:rFonts w:eastAsia="黑体"/>
                <w:szCs w:val="21"/>
                <w:lang w:eastAsia="ja-JP"/>
              </w:rPr>
            </w:pPr>
          </w:p>
        </w:tc>
        <w:tc>
          <w:tcPr>
            <w:tcW w:w="2191" w:type="dxa"/>
            <w:vAlign w:val="center"/>
          </w:tcPr>
          <w:p>
            <w:pPr>
              <w:spacing w:before="40" w:after="40"/>
              <w:rPr>
                <w:rFonts w:eastAsia="黑体"/>
                <w:szCs w:val="21"/>
                <w:lang w:eastAsia="ja-JP"/>
              </w:rPr>
            </w:pPr>
          </w:p>
        </w:tc>
        <w:tc>
          <w:tcPr>
            <w:tcW w:w="1733"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777" w:type="dxa"/>
            <w:vAlign w:val="center"/>
          </w:tcPr>
          <w:p>
            <w:pPr>
              <w:spacing w:before="40" w:after="40"/>
              <w:rPr>
                <w:rFonts w:eastAsia="黑体"/>
                <w:szCs w:val="21"/>
                <w:lang w:eastAsia="ja-JP"/>
              </w:rPr>
            </w:pPr>
          </w:p>
        </w:tc>
        <w:tc>
          <w:tcPr>
            <w:tcW w:w="609" w:type="dxa"/>
            <w:vAlign w:val="center"/>
          </w:tcPr>
          <w:p>
            <w:pPr>
              <w:spacing w:before="40" w:after="40"/>
              <w:rPr>
                <w:rFonts w:eastAsia="黑体"/>
                <w:szCs w:val="21"/>
                <w:lang w:eastAsia="ja-JP"/>
              </w:rPr>
            </w:pPr>
          </w:p>
        </w:tc>
        <w:tc>
          <w:tcPr>
            <w:tcW w:w="2191" w:type="dxa"/>
            <w:vAlign w:val="center"/>
          </w:tcPr>
          <w:p>
            <w:pPr>
              <w:spacing w:before="40" w:after="40"/>
              <w:rPr>
                <w:rFonts w:eastAsia="黑体"/>
                <w:szCs w:val="21"/>
                <w:lang w:eastAsia="ja-JP"/>
              </w:rPr>
            </w:pPr>
          </w:p>
        </w:tc>
        <w:tc>
          <w:tcPr>
            <w:tcW w:w="1733"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default" w:ascii="Arial" w:hAnsi="Arial" w:cs="Arial"/>
                <w:color w:val="000000"/>
                <w:sz w:val="21"/>
                <w:szCs w:val="21"/>
              </w:rPr>
              <w:t>√</w:t>
            </w: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default" w:ascii="Arial" w:hAnsi="Arial" w:cs="Arial"/>
                <w:color w:val="000000"/>
                <w:sz w:val="21"/>
                <w:szCs w:val="21"/>
              </w:rPr>
              <w:t>√</w:t>
            </w: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default" w:ascii="Arial" w:hAnsi="Arial" w:cs="Arial"/>
                <w:color w:val="000000"/>
                <w:sz w:val="21"/>
                <w:szCs w:val="21"/>
              </w:rPr>
              <w:t>√</w:t>
            </w: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default" w:ascii="Arial" w:hAnsi="Arial" w:cs="Arial"/>
                <w:color w:val="000000"/>
                <w:sz w:val="21"/>
                <w:szCs w:val="21"/>
              </w:rPr>
              <w:t>√</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default" w:ascii="Arial" w:hAnsi="Arial" w:cs="Arial"/>
                <w:color w:val="000000"/>
                <w:sz w:val="21"/>
                <w:szCs w:val="21"/>
              </w:rPr>
              <w:t>√</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default" w:ascii="Arial" w:hAnsi="Arial" w:cs="Arial"/>
                <w:color w:val="000000"/>
                <w:sz w:val="21"/>
                <w:szCs w:val="21"/>
              </w:rPr>
              <w:t>√</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default" w:ascii="Arial" w:hAnsi="Arial" w:cs="Arial"/>
                <w:color w:val="000000"/>
                <w:sz w:val="21"/>
                <w:szCs w:val="21"/>
              </w:rPr>
              <w:t>√</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default" w:ascii="Arial" w:hAnsi="Arial" w:cs="Arial"/>
                <w:color w:val="000000"/>
                <w:sz w:val="21"/>
                <w:szCs w:val="21"/>
              </w:rPr>
              <w:t>√</w:t>
            </w: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default" w:ascii="Arial" w:hAnsi="Arial" w:cs="Arial"/>
                <w:color w:val="000000"/>
                <w:sz w:val="21"/>
                <w:szCs w:val="21"/>
              </w:rPr>
              <w:t>√</w:t>
            </w: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default" w:ascii="Arial" w:hAnsi="Arial" w:cs="Arial"/>
                <w:color w:val="000000"/>
                <w:sz w:val="21"/>
                <w:szCs w:val="21"/>
              </w:rPr>
              <w:t>√</w:t>
            </w: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年8月20日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val="en-US" w:eastAsia="zh-CN"/>
              </w:rPr>
            </w:pPr>
            <w:r>
              <w:rPr>
                <w:rFonts w:hint="eastAsia" w:ascii="宋体"/>
                <w:color w:val="000000"/>
                <w:szCs w:val="21"/>
                <w:lang w:val="en-US" w:eastAsia="zh-CN"/>
              </w:rPr>
              <w:t>配料</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配料</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楷体" w:hAnsi="楷体" w:eastAsia="楷体" w:cs="楷体"/>
                <w:szCs w:val="21"/>
              </w:rPr>
              <w:t>标识及使用说明制作</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40" w:after="40"/>
        <w:rPr>
          <w:rFonts w:eastAsia="黑体"/>
          <w:szCs w:val="21"/>
        </w:rPr>
      </w:pPr>
    </w:p>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0" w:name="二阶段审核日期"/>
            <w:r>
              <w:rPr>
                <w:rFonts w:hint="eastAsia" w:ascii="宋体"/>
                <w:b/>
                <w:color w:val="000000"/>
                <w:szCs w:val="21"/>
              </w:rPr>
              <w:t>2021-10-0</w:t>
            </w:r>
            <w:bookmarkEnd w:id="30"/>
            <w:r>
              <w:rPr>
                <w:rFonts w:hint="eastAsia" w:ascii="宋体"/>
                <w:b/>
                <w:color w:val="000000"/>
                <w:szCs w:val="21"/>
                <w:lang w:val="en-US" w:eastAsia="zh-CN"/>
              </w:rPr>
              <w:t>3</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eastAsia="宋体"/>
          <w:b/>
          <w:color w:val="000000"/>
          <w:szCs w:val="21"/>
          <w:lang w:eastAsia="zh-CN"/>
        </w:rPr>
        <w:drawing>
          <wp:anchor distT="0" distB="0" distL="114300" distR="114300" simplePos="0" relativeHeight="251659264" behindDoc="0" locked="0" layoutInCell="1" allowOverlap="1">
            <wp:simplePos x="0" y="0"/>
            <wp:positionH relativeFrom="column">
              <wp:posOffset>1716405</wp:posOffset>
            </wp:positionH>
            <wp:positionV relativeFrom="paragraph">
              <wp:posOffset>228600</wp:posOffset>
            </wp:positionV>
            <wp:extent cx="912495" cy="43942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12495" cy="43942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hint="eastAsia" w:ascii="宋体" w:hAnsi="宋体" w:eastAsia="宋体"/>
          <w:b/>
          <w:color w:val="000000"/>
          <w:szCs w:val="21"/>
          <w:lang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spacing w:line="400" w:lineRule="exact"/>
        <w:ind w:firstLine="843" w:firstLineChars="400"/>
        <w:rPr>
          <w:rFonts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2021年10月2日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bookmarkStart w:id="31" w:name="_GoBack"/>
            <w:r>
              <w:rPr>
                <w:sz w:val="21"/>
              </w:rPr>
              <w:pict>
                <v:line id="_x0000_s1026" o:spid="_x0000_s1026" o:spt="20" style="position:absolute;left:0pt;flip:y;margin-left:20.45pt;margin-top:30.95pt;height:287.3pt;width:451.8pt;z-index:251661312;mso-width-relative:page;mso-height-relative:page;" filled="f" stroked="t" coordsize="21600,21600">
                  <v:path arrowok="t"/>
                  <v:fill on="f" focussize="0,0"/>
                  <v:stroke color="#000000"/>
                  <v:imagedata o:title=""/>
                  <o:lock v:ext="edit" aspectratio="f"/>
                </v:line>
              </w:pict>
            </w:r>
            <w:bookmarkEnd w:id="31"/>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zCs w:val="21"/>
                <w:lang w:val="en-US" w:eastAsia="zh-CN"/>
              </w:rPr>
              <w:drawing>
                <wp:anchor distT="0" distB="0" distL="114300" distR="114300" simplePos="0" relativeHeight="251660288" behindDoc="0" locked="0" layoutInCell="1" allowOverlap="1">
                  <wp:simplePos x="0" y="0"/>
                  <wp:positionH relativeFrom="column">
                    <wp:posOffset>619125</wp:posOffset>
                  </wp:positionH>
                  <wp:positionV relativeFrom="paragraph">
                    <wp:posOffset>172720</wp:posOffset>
                  </wp:positionV>
                  <wp:extent cx="971550" cy="467995"/>
                  <wp:effectExtent l="0" t="0" r="0" b="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971550" cy="467995"/>
                          </a:xfrm>
                          <a:prstGeom prst="rect">
                            <a:avLst/>
                          </a:prstGeom>
                        </pic:spPr>
                      </pic:pic>
                    </a:graphicData>
                  </a:graphic>
                </wp:anchor>
              </w:drawing>
            </w: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2</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62DD2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3</TotalTime>
  <ScaleCrop>false</ScaleCrop>
  <LinksUpToDate>false</LinksUpToDate>
  <CharactersWithSpaces>9455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2021-10-03T07:18:33Z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2052-11.1.0.10938</vt:lpwstr>
  </property>
</Properties>
</file>