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石家庄市纳其尔日化有限公司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12.04.01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肥皂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皂基+助剂（香精、颜料等）—</w:t>
            </w:r>
            <w:r>
              <w:rPr>
                <w:rFonts w:hint="eastAsia"/>
                <w:sz w:val="24"/>
                <w:szCs w:val="24"/>
              </w:rPr>
              <w:t>配料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—混合搅拌——压制——挤出成型——切割——包装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4"/>
                <w:szCs w:val="24"/>
              </w:rPr>
              <w:t>洗涤剂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sz w:val="24"/>
                <w:szCs w:val="24"/>
              </w:rPr>
              <w:t>消毒剂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原料/辅料—配料—搅拌（过滤）—罐装—喷码—成品包装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配料不准确导致产品不符合标准要求，编制配料作业指导书；特殊过程：配料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QB/T2486-2008洗衣皂</w:t>
            </w:r>
            <w:r>
              <w:rPr>
                <w:rFonts w:hint="eastAsia"/>
                <w:b/>
                <w:sz w:val="20"/>
                <w:lang w:eastAsia="zh-CN"/>
              </w:rPr>
              <w:t>、QB/T2485-2008香皂、</w:t>
            </w:r>
            <w:r>
              <w:rPr>
                <w:rFonts w:hint="eastAsia"/>
                <w:b/>
                <w:sz w:val="20"/>
                <w:lang w:val="en-US" w:eastAsia="zh-CN"/>
              </w:rPr>
              <w:t>QB/T1224-2012衣料用液体洗涤剂、QB_T 2654-2013 洗手液、Q/NQE消毒液、Q/NQE洗衣液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外观、气味、pH值、钠皂含量、乙醇不溶物、发泡力、游离苛性碱、总五氧化二磷、有效氯等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106045</wp:posOffset>
                  </wp:positionV>
                  <wp:extent cx="1172210" cy="56451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101600</wp:posOffset>
                  </wp:positionV>
                  <wp:extent cx="1087755" cy="52387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  <w:bookmarkStart w:id="9" w:name="_GoBack"/>
            <w:bookmarkEnd w:id="9"/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A077BA1"/>
    <w:rsid w:val="79947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2021-10-02T02:28:48Z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