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10993-2025-EEnMS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山西盛泰源特种材料科技有限公司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91141000MA0KNF407E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山西盛泰源特种材料科技有限公司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山西省临汾市尧都区大阳镇王雅村东方恒略精密铸造厂内西侧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山西省临汾市尧都区大阳镇王雅村东方恒略精密铸造厂内西侧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E:合金材料铸锻加工所涉及场所的相关环境管理活动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EnMS:合金材料铸锻加工所涉及的能源管理活动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山西盛泰源特种材料科技有限公司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山西省临汾市尧都区大阳镇王雅村东方恒略精密铸造厂内西侧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山西省临汾市尧都区大阳镇王雅村东方恒略精密铸造厂内西侧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E:合金材料铸锻加工所涉及场所的相关环境管理活动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EnMS:合金材料铸锻加工所涉及的能源管理活动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688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