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0054-2017-2021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大庆市聚通祥机械设备有限公司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A149618A1764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50-160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光栅式指示表检定仪U=1μmK=2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19102311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U=1.2HRCK=2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标准洛氏硬度块U=(0.38-0.7)HR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B287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±0.00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量块0.5μm+5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n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(K=2.58)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52770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113512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306"/>
              </w:tabs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10065454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</w:t>
            </w: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2021.10.08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公司已制定《计量确认管理程序》、《外部供方管理程序》，《测量设备溯源管理程序》，公司未建最高计量标准，测量设备由质量部负责溯源。公司测量设备全部委托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中国航发南方工业有限公司计量实验室机构检定/校准，校准/检定证书由质量部保存。根据抽查情况，该公司的校准情况符合溯源性要求。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17805"/>
                  <wp:effectExtent l="0" t="0" r="6985" b="1079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15315" cy="236220"/>
                  <wp:effectExtent l="0" t="0" r="6985" b="5080"/>
                  <wp:docPr id="5" name="图片 5" descr="4f3d10bc55ddc6604bf69f1228a8c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f3d10bc55ddc6604bf69f1228a8c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892" t="46928" r="21432" b="41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551CF"/>
    <w:rsid w:val="264A7A87"/>
    <w:rsid w:val="762B4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2021-10-15T11:14:17Z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28DA5E0B247845419430D1801E66F143</vt:lpwstr>
  </property>
</Properties>
</file>