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0995-2021-QOF</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944"/>
        <w:gridCol w:w="723"/>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重庆味典餐饮管理有限公司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杨珍全，肖新龙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Q:,O:,F:</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915001125520305310</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sz w:val="22"/>
                <w:szCs w:val="22"/>
                <w:lang w:val="en-US" w:eastAsia="zh-CN"/>
              </w:rPr>
              <w:t>□带标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(不适用：8.3条款)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22000-2018&amp;T/CCAA 29-2016 《食品安全管理体系 食品批发和零售企业要求》、GB/T 27306-2008 《食品安全管理体系系 餐饮业要求 》</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Q:25,O:25,F:25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3"/>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3"/>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重庆味典餐饮管理有限公司</w:t>
            </w:r>
            <w:bookmarkEnd w:id="17"/>
          </w:p>
        </w:tc>
        <w:tc>
          <w:tcPr>
            <w:tcW w:w="5013" w:type="dxa"/>
            <w:gridSpan w:val="4"/>
            <w:vMerge w:val="restart"/>
          </w:tcPr>
          <w:p>
            <w:pPr>
              <w:rPr>
                <w:rFonts w:hint="eastAsia"/>
                <w:sz w:val="21"/>
                <w:szCs w:val="21"/>
              </w:rPr>
            </w:pPr>
            <w:r>
              <w:rPr>
                <w:rFonts w:hint="eastAsia"/>
                <w:sz w:val="21"/>
                <w:szCs w:val="21"/>
              </w:rPr>
              <w:t>Q：预包装食品（不含冷藏冷冻食品）的销售，餐饮管理服务(热食类食品制售)</w:t>
            </w:r>
          </w:p>
          <w:p>
            <w:pPr>
              <w:rPr>
                <w:rFonts w:hint="eastAsia"/>
                <w:sz w:val="21"/>
                <w:szCs w:val="21"/>
              </w:rPr>
            </w:pPr>
            <w:r>
              <w:rPr>
                <w:rFonts w:hint="eastAsia"/>
                <w:sz w:val="21"/>
                <w:szCs w:val="21"/>
              </w:rPr>
              <w:t>O：预包装食品（不含冷藏冷冻食品）的销售，餐饮管理服务(热食类食品制售)所涉及场所的相关职业健康安全管理活动</w:t>
            </w:r>
          </w:p>
          <w:p>
            <w:pPr>
              <w:snapToGrid w:val="0"/>
              <w:spacing w:line="0" w:lineRule="atLeast"/>
              <w:jc w:val="left"/>
              <w:rPr>
                <w:rFonts w:hint="eastAsia" w:cs="Times New Roman"/>
                <w:b w:val="0"/>
                <w:kern w:val="2"/>
                <w:sz w:val="22"/>
                <w:szCs w:val="22"/>
                <w:lang w:val="en-US" w:eastAsia="zh-CN" w:bidi="ar-SA"/>
              </w:rPr>
            </w:pPr>
            <w:r>
              <w:rPr>
                <w:rFonts w:hint="eastAsia"/>
                <w:sz w:val="21"/>
                <w:szCs w:val="21"/>
              </w:rPr>
              <w:t>F：位于重庆市渝中区八一路168号14楼1402重庆味典餐饮管理有限公司的预包装食品（不含冷藏冷冻食品）的销售；位于重庆市江北区紫金山102号重庆市精神卫生中心（病员食堂）的热食类食品制售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重庆市渝中区八一路168号14楼1402</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Cs/>
                <w:spacing w:val="10"/>
                <w:kern w:val="2"/>
                <w:sz w:val="21"/>
                <w:szCs w:val="21"/>
                <w:lang w:val="en-GB" w:eastAsia="zh-CN" w:bidi="ar-SA"/>
              </w:rPr>
            </w:pPr>
            <w:bookmarkStart w:id="19" w:name="办公地址"/>
            <w:r>
              <w:rPr>
                <w:rFonts w:hint="eastAsia" w:ascii="Times New Roman" w:hAnsi="Times New Roman" w:eastAsia="宋体" w:cs="Times New Roman"/>
                <w:bCs/>
                <w:spacing w:val="10"/>
                <w:kern w:val="2"/>
                <w:sz w:val="21"/>
                <w:szCs w:val="21"/>
                <w:lang w:val="en-GB" w:eastAsia="zh-CN" w:bidi="ar-SA"/>
              </w:rPr>
              <w:t>重庆市渝中区八一路168号14楼1402</w:t>
            </w:r>
            <w:bookmarkEnd w:id="19"/>
          </w:p>
          <w:p>
            <w:pPr>
              <w:pStyle w:val="2"/>
              <w:rPr>
                <w:rFonts w:hint="eastAsia"/>
                <w:lang w:val="en-US" w:eastAsia="zh-CN"/>
              </w:rPr>
            </w:pPr>
            <w:r>
              <w:rPr>
                <w:sz w:val="21"/>
                <w:szCs w:val="21"/>
              </w:rPr>
              <w:t>重庆市江北区紫金山102号重庆市精神卫生中心（病员食堂）</w:t>
            </w:r>
            <w:r>
              <w:rPr>
                <w:rFonts w:hint="eastAsia"/>
                <w:sz w:val="21"/>
                <w:szCs w:val="21"/>
              </w:rPr>
              <w:t>（承包食堂）</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cs="Arial"/>
                <w:b/>
                <w:bCs/>
                <w:sz w:val="22"/>
                <w:szCs w:val="16"/>
                <w:highlight w:val="none"/>
                <w:lang w:val="en-US"/>
              </w:rPr>
              <w:t>Company Name</w:t>
            </w:r>
            <w:r>
              <w:rPr>
                <w:rFonts w:hint="eastAsia" w:ascii="Times New Roman" w:hAnsi="Times New Roman" w:eastAsia="宋体" w:cs="Times New Roman"/>
                <w:b w:val="0"/>
                <w:kern w:val="2"/>
                <w:sz w:val="22"/>
                <w:szCs w:val="22"/>
                <w:highlight w:val="none"/>
                <w:lang w:val="en-GB" w:eastAsia="zh-CN" w:bidi="ar-SA"/>
              </w:rPr>
              <w:t>公司名称</w:t>
            </w:r>
          </w:p>
        </w:tc>
        <w:tc>
          <w:tcPr>
            <w:tcW w:w="3373" w:type="dxa"/>
            <w:vMerge w:val="restart"/>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Arial"/>
                <w:b/>
                <w:bCs/>
                <w:sz w:val="22"/>
                <w:szCs w:val="16"/>
                <w:highlight w:val="none"/>
                <w:lang w:val="en-US" w:eastAsia="zh-CN"/>
              </w:rPr>
              <w:t>Chongqing Weidian Catering Management</w:t>
            </w:r>
            <w:r>
              <w:rPr>
                <w:rFonts w:cs="Arial"/>
                <w:b/>
                <w:bCs/>
                <w:sz w:val="22"/>
                <w:szCs w:val="16"/>
                <w:highlight w:val="none"/>
                <w:lang w:val="en-US" w:eastAsia="zh-CN"/>
              </w:rPr>
              <w:t xml:space="preserve"> Co.</w:t>
            </w:r>
            <w:r>
              <w:rPr>
                <w:rFonts w:hint="eastAsia" w:cs="Arial"/>
                <w:b/>
                <w:bCs/>
                <w:sz w:val="22"/>
                <w:szCs w:val="16"/>
                <w:highlight w:val="none"/>
                <w:lang w:val="en-US" w:eastAsia="zh-CN"/>
              </w:rPr>
              <w:t>,</w:t>
            </w:r>
            <w:r>
              <w:rPr>
                <w:rFonts w:cs="Arial"/>
                <w:b/>
                <w:bCs/>
                <w:sz w:val="22"/>
                <w:szCs w:val="16"/>
                <w:highlight w:val="none"/>
                <w:lang w:val="en-US" w:eastAsia="zh-CN"/>
              </w:rPr>
              <w:t>Ltd</w:t>
            </w:r>
            <w:r>
              <w:rPr>
                <w:rFonts w:hint="eastAsia" w:cs="Arial"/>
                <w:b/>
                <w:bCs/>
                <w:sz w:val="22"/>
                <w:szCs w:val="16"/>
                <w:highlight w:val="none"/>
                <w:lang w:val="en-US" w:eastAsia="zh-CN"/>
              </w:rPr>
              <w:t>.</w:t>
            </w:r>
          </w:p>
        </w:tc>
        <w:tc>
          <w:tcPr>
            <w:tcW w:w="944" w:type="dxa"/>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QMS</w:t>
            </w:r>
          </w:p>
        </w:tc>
        <w:tc>
          <w:tcPr>
            <w:tcW w:w="4069" w:type="dxa"/>
            <w:gridSpan w:val="3"/>
          </w:tcPr>
          <w:p>
            <w:pPr>
              <w:pStyle w:val="2"/>
              <w:rPr>
                <w:rFonts w:hint="eastAsia"/>
                <w:sz w:val="21"/>
                <w:szCs w:val="16"/>
                <w:highlight w:val="none"/>
                <w:lang w:val="en-US" w:eastAsia="zh-CN"/>
              </w:rPr>
            </w:pPr>
            <w:r>
              <w:rPr>
                <w:rFonts w:hint="eastAsia"/>
                <w:highlight w:val="none"/>
                <w:lang w:val="en-US" w:eastAsia="zh-CN"/>
              </w:rPr>
              <w:t>Sale of pre-packaged food (excluding refrigerated and frozen food)，</w:t>
            </w:r>
            <w:r>
              <w:rPr>
                <w:rFonts w:hint="eastAsia"/>
                <w:sz w:val="21"/>
                <w:szCs w:val="16"/>
                <w:highlight w:val="none"/>
                <w:lang w:val="en-US" w:eastAsia="zh-CN"/>
              </w:rPr>
              <w:t>Catering Management Services</w:t>
            </w:r>
          </w:p>
          <w:p>
            <w:pPr>
              <w:pStyle w:val="2"/>
              <w:rPr>
                <w:rFonts w:hint="default"/>
                <w:lang w:val="en-US" w:eastAsia="zh-CN"/>
              </w:rPr>
            </w:pPr>
            <w:r>
              <w:rPr>
                <w:rFonts w:hint="eastAsia"/>
                <w:sz w:val="21"/>
                <w:szCs w:val="16"/>
                <w:highlight w:val="none"/>
                <w:lang w:val="en-US" w:eastAsia="zh-CN"/>
              </w:rPr>
              <w:t>(production and sale of hot food)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lang w:val="en-US"/>
              </w:rPr>
            </w:pPr>
          </w:p>
        </w:tc>
        <w:tc>
          <w:tcPr>
            <w:tcW w:w="3373" w:type="dxa"/>
            <w:vMerge w:val="continue"/>
          </w:tcPr>
          <w:p>
            <w:pPr>
              <w:snapToGrid w:val="0"/>
              <w:spacing w:line="0" w:lineRule="atLeast"/>
              <w:jc w:val="left"/>
              <w:rPr>
                <w:rFonts w:hint="eastAsia" w:cs="Arial"/>
                <w:b/>
                <w:bCs/>
                <w:sz w:val="22"/>
                <w:szCs w:val="16"/>
                <w:highlight w:val="none"/>
                <w:lang w:val="en-US" w:eastAsia="zh-CN"/>
              </w:rPr>
            </w:pPr>
          </w:p>
        </w:tc>
        <w:tc>
          <w:tcPr>
            <w:tcW w:w="944"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EMS</w:t>
            </w:r>
          </w:p>
        </w:tc>
        <w:tc>
          <w:tcPr>
            <w:tcW w:w="4069" w:type="dxa"/>
            <w:gridSpan w:val="3"/>
          </w:tcPr>
          <w:p>
            <w:pPr>
              <w:snapToGrid w:val="0"/>
              <w:spacing w:line="0" w:lineRule="atLeast"/>
              <w:jc w:val="left"/>
              <w:rPr>
                <w:rFonts w:hint="eastAsia"/>
                <w:lang w:val="en-US" w:eastAsia="zh-CN"/>
              </w:rPr>
            </w:pPr>
            <w:r>
              <w:rPr>
                <w:rFonts w:hint="eastAsia"/>
                <w:lang w:val="en-US" w:eastAsia="zh-CN"/>
              </w:rPr>
              <w:t>——</w:t>
            </w:r>
          </w:p>
          <w:p>
            <w:pPr>
              <w:pStyle w:val="2"/>
              <w:rPr>
                <w:rFonts w:hint="eastAsia"/>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sz w:val="22"/>
                <w:szCs w:val="16"/>
                <w:highlight w:val="none"/>
              </w:rPr>
              <w:fldChar w:fldCharType="begin"/>
            </w:r>
            <w:r>
              <w:rPr>
                <w:sz w:val="22"/>
                <w:szCs w:val="16"/>
                <w:highlight w:val="none"/>
                <w:lang w:val="en-GB" w:eastAsia="zh-CN"/>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lang w:val="en-US"/>
              </w:rPr>
              <w:t>Registration Address</w:t>
            </w:r>
            <w:r>
              <w:rPr>
                <w:rFonts w:hint="eastAsia" w:ascii="Times New Roman" w:hAnsi="Times New Roman" w:eastAsia="宋体" w:cs="Times New Roman"/>
                <w:b w:val="0"/>
                <w:kern w:val="2"/>
                <w:sz w:val="22"/>
                <w:szCs w:val="22"/>
                <w:highlight w:val="none"/>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cs="Arial"/>
                <w:b/>
                <w:bCs/>
                <w:sz w:val="22"/>
                <w:szCs w:val="16"/>
                <w:highlight w:val="none"/>
                <w:lang w:val="en-US" w:eastAsia="zh-CN"/>
              </w:rPr>
              <w:t>Room</w:t>
            </w:r>
            <w:r>
              <w:rPr>
                <w:rFonts w:hint="eastAsia" w:cs="Arial"/>
                <w:b/>
                <w:bCs/>
                <w:sz w:val="22"/>
                <w:szCs w:val="16"/>
                <w:highlight w:val="none"/>
                <w:lang w:val="en-US" w:eastAsia="zh-CN"/>
              </w:rPr>
              <w:t xml:space="preserve"> 1402</w:t>
            </w:r>
            <w:r>
              <w:rPr>
                <w:rFonts w:cs="Arial"/>
                <w:b/>
                <w:bCs/>
                <w:sz w:val="22"/>
                <w:szCs w:val="16"/>
                <w:highlight w:val="none"/>
                <w:lang w:val="en-US" w:eastAsia="zh-CN"/>
              </w:rPr>
              <w:t>,</w:t>
            </w:r>
            <w:r>
              <w:rPr>
                <w:rFonts w:hint="eastAsia" w:cs="Arial"/>
                <w:b/>
                <w:bCs/>
                <w:sz w:val="22"/>
                <w:szCs w:val="16"/>
                <w:highlight w:val="none"/>
                <w:lang w:val="en-US" w:eastAsia="zh-CN"/>
              </w:rPr>
              <w:t xml:space="preserve"> 14</w:t>
            </w:r>
            <w:r>
              <w:rPr>
                <w:rFonts w:hint="eastAsia" w:cs="Arial"/>
                <w:b/>
                <w:bCs/>
                <w:sz w:val="22"/>
                <w:szCs w:val="16"/>
                <w:highlight w:val="none"/>
                <w:vertAlign w:val="superscript"/>
                <w:lang w:val="en-US" w:eastAsia="zh-CN"/>
              </w:rPr>
              <w:t>th</w:t>
            </w:r>
            <w:r>
              <w:rPr>
                <w:rFonts w:hint="eastAsia" w:cs="Arial"/>
                <w:b/>
                <w:bCs/>
                <w:sz w:val="22"/>
                <w:szCs w:val="16"/>
                <w:highlight w:val="none"/>
                <w:lang w:val="en-US" w:eastAsia="zh-CN"/>
              </w:rPr>
              <w:t xml:space="preserve"> Floor,Bayi Road</w:t>
            </w:r>
            <w:r>
              <w:rPr>
                <w:rFonts w:cs="Arial"/>
                <w:b/>
                <w:bCs/>
                <w:sz w:val="22"/>
                <w:szCs w:val="16"/>
                <w:highlight w:val="none"/>
                <w:lang w:val="en-US" w:eastAsia="zh-CN"/>
              </w:rPr>
              <w:t>,</w:t>
            </w:r>
            <w:r>
              <w:rPr>
                <w:rFonts w:hint="eastAsia" w:cs="Arial"/>
                <w:b/>
                <w:bCs/>
                <w:sz w:val="22"/>
                <w:szCs w:val="16"/>
                <w:highlight w:val="none"/>
                <w:lang w:val="en-US" w:eastAsia="zh-CN"/>
              </w:rPr>
              <w:t xml:space="preserve"> Yuzhong District,Chongqing, P.R.China</w:t>
            </w:r>
          </w:p>
        </w:tc>
        <w:tc>
          <w:tcPr>
            <w:tcW w:w="944" w:type="dxa"/>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OHSMS</w:t>
            </w:r>
          </w:p>
        </w:tc>
        <w:tc>
          <w:tcPr>
            <w:tcW w:w="4069" w:type="dxa"/>
            <w:gridSpan w:val="3"/>
          </w:tcPr>
          <w:p>
            <w:pPr>
              <w:pStyle w:val="2"/>
              <w:rPr>
                <w:rFonts w:hint="eastAsia"/>
                <w:highlight w:val="none"/>
                <w:lang w:val="en-US" w:eastAsia="zh-CN"/>
              </w:rPr>
            </w:pPr>
            <w:r>
              <w:rPr>
                <w:rFonts w:hint="eastAsia"/>
                <w:highlight w:val="none"/>
                <w:lang w:val="en-US" w:eastAsia="zh-CN"/>
              </w:rPr>
              <w:t>Sale of pre-packaged food (excluding refrigerated and frozen food)</w:t>
            </w:r>
          </w:p>
          <w:p>
            <w:pPr>
              <w:pStyle w:val="2"/>
              <w:rPr>
                <w:rFonts w:hint="eastAsia"/>
                <w:lang w:val="en-US" w:eastAsia="zh-CN"/>
              </w:rPr>
            </w:pPr>
            <w:r>
              <w:rPr>
                <w:rFonts w:hint="eastAsia"/>
                <w:lang w:val="en-US" w:eastAsia="zh-CN"/>
              </w:rPr>
              <w:t>Relevant occupational health and safety management activities of places involved in Catering Management Services</w:t>
            </w:r>
          </w:p>
          <w:p>
            <w:pPr>
              <w:snapToGrid w:val="0"/>
              <w:spacing w:line="0" w:lineRule="atLeast"/>
              <w:jc w:val="left"/>
              <w:rPr>
                <w:rFonts w:hint="default"/>
                <w:lang w:val="en-US" w:eastAsia="zh-CN"/>
              </w:rPr>
            </w:pPr>
            <w:r>
              <w:rPr>
                <w:rFonts w:hint="eastAsia"/>
                <w:lang w:val="en-US" w:eastAsia="zh-CN"/>
              </w:rPr>
              <w:t>(production and sale of hot food)</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none"/>
                <w:lang w:val="en-US" w:eastAsia="zh-CN"/>
              </w:rPr>
            </w:pPr>
          </w:p>
        </w:tc>
        <w:tc>
          <w:tcPr>
            <w:tcW w:w="944" w:type="dxa"/>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EnMS</w:t>
            </w:r>
          </w:p>
        </w:tc>
        <w:tc>
          <w:tcPr>
            <w:tcW w:w="4069"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GB" w:eastAsia="zh-CN" w:bidi="ar-SA"/>
              </w:rPr>
            </w:pPr>
            <w:r>
              <w:rPr>
                <w:rFonts w:cs="Arial"/>
                <w:b/>
                <w:bCs/>
                <w:sz w:val="22"/>
                <w:szCs w:val="16"/>
                <w:highlight w:val="none"/>
                <w:lang w:val="en-US"/>
              </w:rPr>
              <w:t>Operation Address</w:t>
            </w:r>
            <w:r>
              <w:rPr>
                <w:rFonts w:hint="eastAsia" w:cs="Times New Roman"/>
                <w:b w:val="0"/>
                <w:kern w:val="2"/>
                <w:sz w:val="22"/>
                <w:szCs w:val="22"/>
                <w:highlight w:val="none"/>
                <w:lang w:val="en-US" w:eastAsia="zh-CN" w:bidi="ar-SA"/>
              </w:rPr>
              <w:t>经营</w:t>
            </w:r>
            <w:r>
              <w:rPr>
                <w:rFonts w:hint="eastAsia" w:ascii="Times New Roman" w:hAnsi="Times New Roman" w:eastAsia="宋体" w:cs="Times New Roman"/>
                <w:b w:val="0"/>
                <w:kern w:val="2"/>
                <w:sz w:val="22"/>
                <w:szCs w:val="22"/>
                <w:highlight w:val="none"/>
                <w:lang w:val="en-GB" w:eastAsia="zh-CN" w:bidi="ar-SA"/>
              </w:rPr>
              <w:t>地址</w:t>
            </w:r>
          </w:p>
        </w:tc>
        <w:tc>
          <w:tcPr>
            <w:tcW w:w="3373" w:type="dxa"/>
            <w:vMerge w:val="restart"/>
          </w:tcPr>
          <w:p>
            <w:pPr>
              <w:numPr>
                <w:ilvl w:val="0"/>
                <w:numId w:val="1"/>
              </w:numPr>
              <w:snapToGrid w:val="0"/>
              <w:spacing w:line="0" w:lineRule="atLeast"/>
              <w:jc w:val="left"/>
              <w:rPr>
                <w:rFonts w:hint="eastAsia"/>
                <w:highlight w:val="none"/>
                <w:lang w:val="en-US" w:eastAsia="zh-CN"/>
              </w:rPr>
            </w:pPr>
            <w:r>
              <w:rPr>
                <w:highlight w:val="none"/>
                <w:lang w:val="en-US" w:eastAsia="zh-CN"/>
              </w:rPr>
              <w:t>Room</w:t>
            </w:r>
            <w:r>
              <w:rPr>
                <w:rFonts w:hint="eastAsia"/>
                <w:highlight w:val="none"/>
                <w:lang w:val="en-US" w:eastAsia="zh-CN"/>
              </w:rPr>
              <w:t xml:space="preserve"> 1402</w:t>
            </w:r>
            <w:r>
              <w:rPr>
                <w:highlight w:val="none"/>
                <w:lang w:val="en-US" w:eastAsia="zh-CN"/>
              </w:rPr>
              <w:t>,</w:t>
            </w:r>
            <w:r>
              <w:rPr>
                <w:rFonts w:hint="eastAsia"/>
                <w:highlight w:val="none"/>
                <w:lang w:val="en-US" w:eastAsia="zh-CN"/>
              </w:rPr>
              <w:t xml:space="preserve"> 14th Floor,Bayi Road</w:t>
            </w:r>
            <w:r>
              <w:rPr>
                <w:highlight w:val="none"/>
                <w:lang w:val="en-US" w:eastAsia="zh-CN"/>
              </w:rPr>
              <w:t>,</w:t>
            </w:r>
            <w:r>
              <w:rPr>
                <w:rFonts w:hint="eastAsia"/>
                <w:highlight w:val="none"/>
                <w:lang w:val="en-US" w:eastAsia="zh-CN"/>
              </w:rPr>
              <w:t xml:space="preserve"> Yuzhong District,Chongqing, P.R.China</w:t>
            </w:r>
          </w:p>
          <w:p>
            <w:pPr>
              <w:pStyle w:val="2"/>
              <w:numPr>
                <w:ilvl w:val="0"/>
                <w:numId w:val="1"/>
              </w:numPr>
              <w:rPr>
                <w:rFonts w:hint="default"/>
                <w:highlight w:val="none"/>
                <w:lang w:val="en-US" w:eastAsia="zh-CN"/>
              </w:rPr>
            </w:pPr>
            <w:r>
              <w:rPr>
                <w:rFonts w:hint="eastAsia"/>
                <w:highlight w:val="none"/>
                <w:lang w:val="en-US" w:eastAsia="zh-CN"/>
              </w:rPr>
              <w:t>Chongqing Mental Health Center,</w:t>
            </w:r>
          </w:p>
          <w:p>
            <w:pPr>
              <w:pStyle w:val="2"/>
              <w:numPr>
                <w:ilvl w:val="0"/>
                <w:numId w:val="0"/>
              </w:numPr>
              <w:rPr>
                <w:rFonts w:hint="default"/>
                <w:highlight w:val="none"/>
                <w:lang w:val="en-US" w:eastAsia="zh-CN"/>
              </w:rPr>
            </w:pPr>
            <w:r>
              <w:rPr>
                <w:rFonts w:hint="eastAsia"/>
                <w:highlight w:val="none"/>
                <w:lang w:val="en-US" w:eastAsia="zh-CN"/>
              </w:rPr>
              <w:t>#102 Zijin Mountain,Jiangbei District,Chongqing,P.R.China</w:t>
            </w:r>
          </w:p>
          <w:p>
            <w:pPr>
              <w:pStyle w:val="2"/>
              <w:numPr>
                <w:ilvl w:val="0"/>
                <w:numId w:val="0"/>
              </w:numPr>
              <w:rPr>
                <w:rFonts w:hint="default"/>
                <w:highlight w:val="none"/>
                <w:lang w:val="en-US" w:eastAsia="zh-CN"/>
              </w:rPr>
            </w:pPr>
          </w:p>
        </w:tc>
        <w:tc>
          <w:tcPr>
            <w:tcW w:w="944"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FSMS</w:t>
            </w:r>
          </w:p>
        </w:tc>
        <w:tc>
          <w:tcPr>
            <w:tcW w:w="4069" w:type="dxa"/>
            <w:gridSpan w:val="3"/>
          </w:tcPr>
          <w:p>
            <w:pPr>
              <w:numPr>
                <w:ilvl w:val="0"/>
                <w:numId w:val="2"/>
              </w:numPr>
              <w:snapToGrid w:val="0"/>
              <w:spacing w:line="0" w:lineRule="atLeast"/>
              <w:jc w:val="left"/>
              <w:rPr>
                <w:rFonts w:hint="eastAsia"/>
                <w:lang w:val="en-US" w:eastAsia="zh-CN"/>
              </w:rPr>
            </w:pPr>
            <w:r>
              <w:rPr>
                <w:rFonts w:hint="eastAsia"/>
                <w:lang w:val="en-US" w:eastAsia="zh-CN"/>
              </w:rPr>
              <w:t>Sales of prepackaged food (excluding refrigerated and frozen food) of Chongqing Weidian Catering Management Co., Ltd., 1402, 14th floor, 168 Bayi Road, Yuzhong District, Chongqing</w:t>
            </w:r>
          </w:p>
          <w:p>
            <w:pPr>
              <w:pStyle w:val="2"/>
              <w:widowControl w:val="0"/>
              <w:numPr>
                <w:numId w:val="0"/>
              </w:numPr>
              <w:spacing w:before="25" w:after="25" w:line="276" w:lineRule="auto"/>
              <w:jc w:val="both"/>
              <w:rPr>
                <w:rFonts w:hint="eastAsia"/>
                <w:lang w:val="en-US" w:eastAsia="zh-CN"/>
              </w:rPr>
            </w:pPr>
          </w:p>
          <w:p>
            <w:pPr>
              <w:pStyle w:val="2"/>
              <w:widowControl w:val="0"/>
              <w:numPr>
                <w:numId w:val="0"/>
              </w:numPr>
              <w:spacing w:before="25" w:after="25" w:line="276" w:lineRule="auto"/>
              <w:jc w:val="both"/>
              <w:rPr>
                <w:rFonts w:hint="eastAsia"/>
                <w:lang w:val="en-US" w:eastAsia="zh-CN"/>
              </w:rPr>
            </w:pPr>
          </w:p>
          <w:p>
            <w:pPr>
              <w:pStyle w:val="2"/>
              <w:rPr>
                <w:rFonts w:hint="eastAsia"/>
                <w:lang w:val="en-US" w:eastAsia="zh-CN"/>
              </w:rPr>
            </w:pPr>
            <w:r>
              <w:rPr>
                <w:rFonts w:hint="eastAsia"/>
                <w:lang w:val="en-US" w:eastAsia="zh-CN"/>
              </w:rPr>
              <w:t>2.Catering Management Services</w:t>
            </w:r>
          </w:p>
          <w:p>
            <w:pPr>
              <w:snapToGrid w:val="0"/>
              <w:spacing w:line="0" w:lineRule="atLeast"/>
              <w:jc w:val="left"/>
              <w:rPr>
                <w:rFonts w:hint="eastAsia"/>
                <w:lang w:val="en-US" w:eastAsia="zh-CN"/>
              </w:rPr>
            </w:pPr>
            <w:r>
              <w:rPr>
                <w:rFonts w:hint="eastAsia"/>
                <w:lang w:val="en-US" w:eastAsia="zh-CN"/>
              </w:rPr>
              <w:t>(production and sale of hot food)</w:t>
            </w:r>
          </w:p>
          <w:p>
            <w:pPr>
              <w:pStyle w:val="2"/>
              <w:rPr>
                <w:rFonts w:hint="default"/>
                <w:lang w:val="en-US" w:eastAsia="zh-CN"/>
              </w:rPr>
            </w:pPr>
            <w:r>
              <w:rPr>
                <w:rFonts w:hint="eastAsia"/>
                <w:lang w:val="en-US" w:eastAsia="zh-CN"/>
              </w:rPr>
              <w:t>in Chongqing mental health center (patient canteen), No. 102, Zijinshan, Jiangbei District, Chongqing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944"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4069"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lang w:val="en-US" w:eastAsia="zh-CN"/>
              </w:rPr>
            </w:pPr>
          </w:p>
          <w:p>
            <w:pPr>
              <w:snapToGrid w:val="0"/>
              <w:spacing w:line="0" w:lineRule="atLeast"/>
              <w:jc w:val="left"/>
              <w:rPr>
                <w:lang w:val="en-US" w:eastAsia="zh-CN"/>
              </w:rPr>
            </w:pPr>
          </w:p>
          <w:p>
            <w:pPr>
              <w:pStyle w:val="2"/>
              <w:rPr>
                <w:rFonts w:cs="Arial"/>
                <w:b/>
                <w:bCs/>
                <w:sz w:val="22"/>
                <w:szCs w:val="16"/>
                <w:lang w:val="en-US" w:eastAsia="zh-CN"/>
              </w:rPr>
            </w:pPr>
          </w:p>
          <w:p>
            <w:pPr>
              <w:pStyle w:val="2"/>
              <w:rPr>
                <w:rFonts w:cs="Arial"/>
                <w:b/>
                <w:bCs/>
                <w:sz w:val="22"/>
                <w:szCs w:val="16"/>
                <w:lang w:val="en-US" w:eastAsia="zh-CN"/>
              </w:rPr>
            </w:pPr>
            <w:bookmarkStart w:id="20" w:name="_GoBack"/>
            <w:bookmarkEnd w:id="20"/>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3"/>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2"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rFonts w:hint="eastAsia"/>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QCwI2AAAAAkBAAAPAAAAAAAAAAEAIAAAACIAAABkcnMvZG93bnJl&#10;di54bWxQSwECFAAUAAAACACHTuJAZ6JavMQBAAB6AwAADgAAAAAAAAABACAAAAAnAQAAZHJzL2Uy&#10;b0RvYy54bWxQSwUGAAAAAAYABgBZAQAAXQUAAAAA&#10;">
              <v:fill on="t" focussize="0,0"/>
              <v:stroke on="f"/>
              <v:imagedata o:title=""/>
              <o:lock v:ext="edit" aspectratio="f"/>
              <v:textbox>
                <w:txbxContent>
                  <w:p>
                    <w:pPr>
                      <w:rPr>
                        <w:rFonts w:hint="eastAsia"/>
                        <w:sz w:val="18"/>
                        <w:szCs w:val="18"/>
                      </w:rPr>
                    </w:pPr>
                    <w:r>
                      <w:rPr>
                        <w:rFonts w:hint="eastAsia"/>
                        <w:sz w:val="18"/>
                        <w:szCs w:val="18"/>
                      </w:rPr>
                      <w:t>ISC-B-II-20(05版）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12881"/>
    <w:multiLevelType w:val="singleLevel"/>
    <w:tmpl w:val="8FD12881"/>
    <w:lvl w:ilvl="0" w:tentative="0">
      <w:start w:val="1"/>
      <w:numFmt w:val="decimal"/>
      <w:lvlText w:val="%1."/>
      <w:lvlJc w:val="left"/>
      <w:pPr>
        <w:tabs>
          <w:tab w:val="left" w:pos="312"/>
        </w:tabs>
      </w:pPr>
    </w:lvl>
  </w:abstractNum>
  <w:abstractNum w:abstractNumId="1">
    <w:nsid w:val="CAE65A57"/>
    <w:multiLevelType w:val="singleLevel"/>
    <w:tmpl w:val="CAE65A5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D2B81"/>
    <w:rsid w:val="1E033E7D"/>
    <w:rsid w:val="3B3D0A6B"/>
    <w:rsid w:val="44563894"/>
    <w:rsid w:val="69DB73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942</Words>
  <Characters>1450</Characters>
  <Lines>7</Lines>
  <Paragraphs>2</Paragraphs>
  <TotalTime>2</TotalTime>
  <ScaleCrop>false</ScaleCrop>
  <LinksUpToDate>false</LinksUpToDate>
  <CharactersWithSpaces>1611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2021-09-29T06:41:30Z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4D8BEA8C1E2D4D9B8DC397C6C0EFE6FF</vt:lpwstr>
  </property>
  <property fmtid="{D5CDD505-2E9C-101B-9397-08002B2CF9AE}" pid="3" name="KSOProductBuildVer">
    <vt:lpwstr>2052-11.1.0.10938</vt:lpwstr>
  </property>
</Properties>
</file>