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952"/>
        <w:gridCol w:w="761"/>
        <w:gridCol w:w="937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1"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陪同人员：</w:t>
            </w:r>
            <w:r>
              <w:rPr>
                <w:rFonts w:hint="eastAsia"/>
                <w:szCs w:val="21"/>
              </w:rPr>
              <w:t>敖颖</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44" w:type="dxa"/>
            <w:vMerge w:val="continue"/>
            <w:vAlign w:val="center"/>
          </w:tcPr>
          <w:p/>
        </w:tc>
        <w:tc>
          <w:tcPr>
            <w:tcW w:w="952" w:type="dxa"/>
            <w:vMerge w:val="continue"/>
            <w:vAlign w:val="center"/>
          </w:tcPr>
          <w:p/>
        </w:tc>
        <w:tc>
          <w:tcPr>
            <w:tcW w:w="10131" w:type="dxa"/>
            <w:gridSpan w:val="2"/>
            <w:vAlign w:val="center"/>
          </w:tcPr>
          <w:p>
            <w:pPr>
              <w:spacing w:before="120"/>
            </w:pPr>
            <w:r>
              <w:rPr>
                <w:rFonts w:hint="eastAsia"/>
                <w:sz w:val="24"/>
                <w:szCs w:val="24"/>
              </w:rPr>
              <w:t>审核员：邝柏</w:t>
            </w:r>
            <w:r>
              <w:rPr>
                <w:sz w:val="24"/>
                <w:szCs w:val="24"/>
              </w:rPr>
              <w:t>臣</w:t>
            </w:r>
            <w:r>
              <w:rPr>
                <w:rFonts w:hint="eastAsia"/>
                <w:sz w:val="24"/>
                <w:szCs w:val="24"/>
              </w:rPr>
              <w:t xml:space="preserve">           </w:t>
            </w:r>
            <w:r>
              <w:rPr>
                <w:sz w:val="24"/>
                <w:szCs w:val="24"/>
              </w:rPr>
              <w:t xml:space="preserve">       </w:t>
            </w:r>
            <w:r>
              <w:rPr>
                <w:rFonts w:hint="eastAsia"/>
                <w:sz w:val="24"/>
                <w:szCs w:val="24"/>
              </w:rPr>
              <w:t>审核日期：2021年09月27日</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4" w:type="dxa"/>
            <w:vMerge w:val="continue"/>
            <w:vAlign w:val="center"/>
          </w:tcPr>
          <w:p/>
        </w:tc>
        <w:tc>
          <w:tcPr>
            <w:tcW w:w="952" w:type="dxa"/>
            <w:vMerge w:val="continue"/>
            <w:vAlign w:val="center"/>
          </w:tcPr>
          <w:p/>
        </w:tc>
        <w:tc>
          <w:tcPr>
            <w:tcW w:w="10131" w:type="dxa"/>
            <w:gridSpan w:val="2"/>
            <w:vAlign w:val="center"/>
          </w:tcPr>
          <w:p>
            <w:pPr>
              <w:spacing w:before="120"/>
              <w:rPr>
                <w:sz w:val="24"/>
                <w:szCs w:val="24"/>
              </w:rPr>
            </w:pPr>
            <w:r>
              <w:rPr>
                <w:rFonts w:hint="eastAsia"/>
                <w:sz w:val="24"/>
                <w:szCs w:val="24"/>
              </w:rPr>
              <w:t>审核条款：F：4.1/4.2/4.3/4.4/5.1/5.2/5.3/6.1/6.2/6.3/7.1.1/7.1.2/7.1.5/7.4/9.1.1/9.2/9.3/10.1/10.2/10.3</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70" w:type="dxa"/>
          </w:tcPr>
          <w:p>
            <w:r>
              <w:rPr>
                <w:rFonts w:hint="eastAsia"/>
              </w:rPr>
              <w:t>如：《组织及其环境控制程序》、</w:t>
            </w:r>
            <w:r>
              <w:rPr/>
              <w:sym w:font="Wingdings" w:char="00FE"/>
            </w:r>
            <w:r>
              <w:rPr>
                <w:rFonts w:hint="eastAsia"/>
              </w:rPr>
              <w:t>管理手册第4.1条款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857" w:type="dxa"/>
                </w:tcPr>
                <w:p>
                  <w:r>
                    <w:rPr>
                      <w:rFonts w:hint="eastAsia"/>
                    </w:rPr>
                    <w:t xml:space="preserve">☑法律法规 </w:t>
                  </w:r>
                  <w:r>
                    <w:rPr>
                      <w:rFonts w:hint="eastAsia"/>
                    </w:rPr>
                    <w:sym w:font="Wingdings 2" w:char="00A3"/>
                  </w:r>
                  <w:r>
                    <w:rPr>
                      <w:rFonts w:hint="eastAsia"/>
                    </w:rPr>
                    <w:t>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857" w:type="dxa"/>
                </w:tcPr>
                <w:p>
                  <w:pPr>
                    <w:rPr>
                      <w:rFonts w:asciiTheme="minorEastAsia" w:hAnsiTheme="minorEastAsia" w:eastAsiaTheme="minorEastAsia"/>
                      <w:szCs w:val="21"/>
                    </w:rPr>
                  </w:pPr>
                  <w:r>
                    <w:rPr>
                      <w:rFonts w:hint="eastAsia" w:asciiTheme="minorEastAsia" w:hAnsiTheme="minorEastAsia" w:eastAsiaTheme="minorEastAsia"/>
                      <w:szCs w:val="21"/>
                    </w:rPr>
                    <w:t>销</w:t>
                  </w:r>
                  <w:r>
                    <w:rPr>
                      <w:rFonts w:asciiTheme="minorEastAsia" w:hAnsiTheme="minorEastAsia" w:eastAsiaTheme="minorEastAsia"/>
                      <w:szCs w:val="21"/>
                    </w:rPr>
                    <w:t>售：</w:t>
                  </w:r>
                  <w:r>
                    <w:rPr>
                      <w:rFonts w:hint="eastAsia" w:asciiTheme="minorEastAsia" w:hAnsiTheme="minorEastAsia" w:eastAsiaTheme="minorEastAsia"/>
                      <w:szCs w:val="21"/>
                    </w:rPr>
                    <w:t>客户对食品安全很重视，要求配送食材的质量和安全性控制更为严格</w:t>
                  </w:r>
                </w:p>
                <w:p>
                  <w:pPr>
                    <w:pStyle w:val="2"/>
                    <w:ind w:left="-594"/>
                    <w:rPr>
                      <w:rFonts w:asciiTheme="minorEastAsia" w:hAnsiTheme="minorEastAsia" w:eastAsiaTheme="minorEastAsia"/>
                      <w:sz w:val="21"/>
                      <w:szCs w:val="21"/>
                    </w:rPr>
                  </w:pPr>
                  <w:r>
                    <w:rPr>
                      <w:rFonts w:hint="eastAsia"/>
                      <w:sz w:val="21"/>
                      <w:szCs w:val="21"/>
                    </w:rPr>
                    <w:t>餐饮</w:t>
                  </w:r>
                  <w:r>
                    <w:rPr>
                      <w:sz w:val="21"/>
                      <w:szCs w:val="21"/>
                    </w:rPr>
                    <w:t>食堂</w:t>
                  </w:r>
                  <w:r>
                    <w:rPr>
                      <w:rFonts w:hint="eastAsia"/>
                      <w:sz w:val="21"/>
                      <w:szCs w:val="21"/>
                    </w:rPr>
                    <w:t>：</w:t>
                  </w:r>
                  <w:r>
                    <w:rPr>
                      <w:rFonts w:hint="eastAsia" w:asciiTheme="minorEastAsia" w:hAnsiTheme="minorEastAsia" w:eastAsiaTheme="minorEastAsia"/>
                      <w:sz w:val="21"/>
                      <w:szCs w:val="21"/>
                    </w:rPr>
                    <w:t>客户对食品安全比较重视，对制程能力和品质水平要求越来越高。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857"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价值观</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文化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□工艺 </w:t>
                  </w:r>
                  <w:r>
                    <w:rPr>
                      <w:rFonts w:ascii="Segoe UI Symbol" w:hAnsi="Segoe UI Symbol" w:cs="Segoe UI Symbol" w:eastAsiaTheme="minorEastAsia"/>
                      <w:szCs w:val="21"/>
                    </w:rPr>
                    <w:t>☑</w:t>
                  </w:r>
                  <w:r>
                    <w:rPr>
                      <w:rFonts w:hint="eastAsia" w:ascii="宋体" w:hAnsi="宋体" w:cs="宋体"/>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人员能力</w:t>
                  </w:r>
                  <w:r>
                    <w:rPr>
                      <w:rFonts w:hint="eastAsia" w:asciiTheme="minorEastAsia" w:hAnsiTheme="minorEastAsia" w:eastAsiaTheme="minorEastAsia"/>
                      <w:szCs w:val="21"/>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857" w:type="dxa"/>
                </w:tcPr>
                <w:p>
                  <w:pPr>
                    <w:rPr>
                      <w:rFonts w:asciiTheme="minorEastAsia" w:hAnsiTheme="minorEastAsia" w:eastAsiaTheme="minorEastAsia"/>
                      <w:szCs w:val="21"/>
                    </w:rPr>
                  </w:pPr>
                  <w:r>
                    <w:rPr>
                      <w:rFonts w:hint="eastAsia" w:asciiTheme="minorEastAsia" w:hAnsiTheme="minorEastAsia" w:eastAsiaTheme="minorEastAsia"/>
                      <w:szCs w:val="21"/>
                    </w:rPr>
                    <w:t>经营多年，客户类型单一且较为集中，合作稳定，传统配送</w:t>
                  </w:r>
                </w:p>
                <w:p>
                  <w:pPr>
                    <w:pStyle w:val="2"/>
                    <w:ind w:left="-594"/>
                    <w:rPr>
                      <w:rFonts w:asciiTheme="minorEastAsia" w:hAnsiTheme="minorEastAsia" w:eastAsiaTheme="minorEastAsia"/>
                      <w:sz w:val="21"/>
                      <w:szCs w:val="21"/>
                      <w:highlight w:val="cyan"/>
                    </w:rPr>
                  </w:pPr>
                  <w:r>
                    <w:rPr>
                      <w:rFonts w:hint="eastAsia" w:asciiTheme="minorEastAsia" w:hAnsiTheme="minorEastAsia" w:eastAsiaTheme="minorEastAsia"/>
                      <w:sz w:val="21"/>
                      <w:szCs w:val="21"/>
                    </w:rPr>
                    <w:t>顾客对产品质量、交付、价格、服务等要求越来越高，对行业情况相对了解。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857" w:type="dxa"/>
                </w:tcPr>
                <w:p>
                  <w:r>
                    <w:rPr>
                      <w:rFonts w:hint="eastAsia"/>
                    </w:rPr>
                    <w:t>在原料供应、配送等方面具备区域优势；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857" w:type="dxa"/>
                </w:tcPr>
                <w:p>
                  <w:r>
                    <w:rPr>
                      <w:rFonts w:hint="eastAsia"/>
                    </w:rPr>
                    <w:t>现阶段经营规模相对较小，食品安全意识有待提高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857" w:type="dxa"/>
                </w:tcPr>
                <w:p>
                  <w:pPr>
                    <w:rPr>
                      <w:highlight w:val="cyan"/>
                    </w:rPr>
                  </w:pPr>
                  <w:r>
                    <w:rPr>
                      <w:rFonts w:hint="eastAsia"/>
                    </w:rPr>
                    <w:t>存在一定的食品安全风险，预包装食品在存储和运输中会出现食品安全生物危害等，存在客户退货等经营风险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857" w:type="dxa"/>
                </w:tcPr>
                <w:p>
                  <w:pPr>
                    <w:rPr>
                      <w:highlight w:val="cyan"/>
                    </w:rPr>
                  </w:pPr>
                  <w:r>
                    <w:rPr>
                      <w:rFonts w:hint="eastAsia"/>
                    </w:rPr>
                    <w:t>建立体系，提高管理规范化，会赢得更多的客户</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《内、外部经营环境因素评价》  </w:t>
            </w:r>
            <w:r>
              <w:rPr>
                <w:rFonts w:hint="eastAsia"/>
              </w:rPr>
              <w:sym w:font="Wingdings" w:char="00A8"/>
            </w:r>
            <w:r>
              <w:rPr>
                <w:rFonts w:hint="eastAsia"/>
              </w:rPr>
              <w:t xml:space="preserve">《年度业务计划》 </w:t>
            </w:r>
            <w:r>
              <w:rPr>
                <w:rFonts w:hint="eastAsia"/>
              </w:rPr>
              <w:sym w:font="Wingdings" w:char="00A8"/>
            </w:r>
            <w:r>
              <w:rPr>
                <w:rFonts w:hint="eastAsia"/>
              </w:rPr>
              <w:t>其他《风险识别评估记录表-组织风险和机遇控制清单》</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70" w:type="dxa"/>
          </w:tcPr>
          <w:p>
            <w:r>
              <w:rPr>
                <w:rFonts w:hint="eastAsia"/>
              </w:rPr>
              <w:t>如：《理解相关方的需求和期望控制程序》、</w:t>
            </w:r>
            <w:r>
              <w:rPr>
                <w:rFonts w:hint="eastAsia"/>
              </w:rPr>
              <w:sym w:font="Wingdings" w:char="00FE"/>
            </w:r>
            <w:r>
              <w:rPr>
                <w:rFonts w:hint="eastAsia"/>
              </w:rPr>
              <w:t>管理手册第4.2条款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pPr>
                    <w:rPr>
                      <w:highlight w:val="yellow"/>
                    </w:rPr>
                  </w:pPr>
                  <w:r>
                    <w:rPr>
                      <w:rFonts w:hint="eastAsia"/>
                    </w:rPr>
                    <w:t>重</w:t>
                  </w:r>
                  <w:r>
                    <w:t>庆市</w:t>
                  </w:r>
                  <w:r>
                    <w:rPr>
                      <w:rFonts w:hint="eastAsia"/>
                    </w:rPr>
                    <w:t>渝</w:t>
                  </w:r>
                  <w:r>
                    <w:t>中</w:t>
                  </w:r>
                  <w:r>
                    <w:rPr>
                      <w:rFonts w:hint="eastAsia"/>
                    </w:rPr>
                    <w:t>区市场监督管理局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t>☑供方</w:t>
                  </w:r>
                </w:p>
              </w:tc>
              <w:tc>
                <w:tcPr>
                  <w:tcW w:w="2495" w:type="dxa"/>
                </w:tcPr>
                <w:p>
                  <w:pPr>
                    <w:rPr>
                      <w:szCs w:val="22"/>
                    </w:rPr>
                  </w:pPr>
                  <w:r>
                    <w:rPr>
                      <w:rFonts w:hint="eastAsia" w:ascii="宋体" w:hAnsi="宋体" w:cs="宋体"/>
                      <w:bCs/>
                      <w:color w:val="000000"/>
                      <w:kern w:val="0"/>
                      <w:sz w:val="20"/>
                    </w:rPr>
                    <w:t>销</w:t>
                  </w:r>
                  <w:r>
                    <w:rPr>
                      <w:rFonts w:ascii="宋体" w:hAnsi="宋体" w:cs="宋体"/>
                      <w:bCs/>
                      <w:color w:val="000000"/>
                      <w:kern w:val="0"/>
                      <w:sz w:val="20"/>
                    </w:rPr>
                    <w:t>售：</w:t>
                  </w:r>
                  <w:r>
                    <w:rPr>
                      <w:rFonts w:hint="eastAsia" w:ascii="宋体" w:hAnsi="宋体" w:cs="宋体"/>
                      <w:bCs/>
                      <w:color w:val="000000"/>
                      <w:kern w:val="0"/>
                      <w:sz w:val="20"/>
                    </w:rPr>
                    <w:t>南岸区润均食品经营部</w:t>
                  </w:r>
                </w:p>
                <w:p>
                  <w:pPr>
                    <w:rPr>
                      <w:rFonts w:hint="eastAsia"/>
                      <w:szCs w:val="22"/>
                    </w:rPr>
                  </w:pPr>
                  <w:r>
                    <w:rPr>
                      <w:rFonts w:hint="eastAsia"/>
                      <w:szCs w:val="22"/>
                    </w:rPr>
                    <w:t>餐</w:t>
                  </w:r>
                  <w:r>
                    <w:rPr>
                      <w:szCs w:val="22"/>
                    </w:rPr>
                    <w:t>饮食堂：由甲方指定供应商</w:t>
                  </w:r>
                  <w:r>
                    <w:rPr>
                      <w:rFonts w:hint="eastAsia"/>
                      <w:szCs w:val="22"/>
                    </w:rPr>
                    <w:t>。</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rFonts w:hint="eastAsia"/>
                      <w:szCs w:val="22"/>
                    </w:rPr>
                  </w:pPr>
                  <w:r>
                    <w:rPr>
                      <w:rFonts w:hint="eastAsia"/>
                      <w:szCs w:val="22"/>
                    </w:rPr>
                    <w:t>销</w:t>
                  </w:r>
                  <w:r>
                    <w:rPr>
                      <w:szCs w:val="22"/>
                    </w:rPr>
                    <w:t>售：</w:t>
                  </w:r>
                  <w:r>
                    <w:rPr>
                      <w:rFonts w:hint="eastAsia"/>
                      <w:szCs w:val="22"/>
                    </w:rPr>
                    <w:t>企事</w:t>
                  </w:r>
                  <w:r>
                    <w:rPr>
                      <w:szCs w:val="22"/>
                    </w:rPr>
                    <w:t>业</w:t>
                  </w:r>
                  <w:r>
                    <w:rPr>
                      <w:rFonts w:hint="eastAsia"/>
                      <w:szCs w:val="22"/>
                    </w:rPr>
                    <w:t>单位</w:t>
                  </w:r>
                  <w:r>
                    <w:rPr>
                      <w:szCs w:val="22"/>
                    </w:rPr>
                    <w:t>食堂</w:t>
                  </w:r>
                </w:p>
                <w:p>
                  <w:pPr>
                    <w:rPr>
                      <w:szCs w:val="22"/>
                    </w:rPr>
                  </w:pPr>
                  <w:r>
                    <w:rPr>
                      <w:rFonts w:hint="eastAsia"/>
                      <w:szCs w:val="22"/>
                    </w:rPr>
                    <w:t>餐饮</w:t>
                  </w:r>
                  <w:r>
                    <w:rPr>
                      <w:szCs w:val="22"/>
                    </w:rPr>
                    <w:t>食堂：医</w:t>
                  </w:r>
                  <w:r>
                    <w:rPr>
                      <w:rFonts w:hint="eastAsia"/>
                      <w:szCs w:val="22"/>
                    </w:rPr>
                    <w:t>院</w:t>
                  </w:r>
                  <w:r>
                    <w:rPr>
                      <w:szCs w:val="22"/>
                    </w:rPr>
                    <w:t>食堂职工、病员</w:t>
                  </w:r>
                </w:p>
              </w:tc>
              <w:tc>
                <w:tcPr>
                  <w:tcW w:w="3611" w:type="dxa"/>
                </w:tcPr>
                <w:p>
                  <w:pPr>
                    <w:ind w:left="210" w:hanging="210" w:hangingChars="100"/>
                  </w:pPr>
                  <w:r>
                    <w:rPr>
                      <w:rFonts w:ascii="Segoe UI Symbol" w:hAnsi="Segoe UI Symbol" w:cs="Segoe UI Symbol"/>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 xml:space="preserve"> ——</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szCs w:val="24"/>
                    </w:rPr>
                  </w:pPr>
                  <w:r>
                    <w:rPr>
                      <w:rFonts w:hint="eastAsia"/>
                      <w:szCs w:val="24"/>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r>
                    <w:rPr>
                      <w:rFonts w:hint="eastAsia"/>
                    </w:rPr>
                    <w:t>——</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社区</w:t>
                  </w:r>
                </w:p>
              </w:tc>
              <w:tc>
                <w:tcPr>
                  <w:tcW w:w="2495" w:type="dxa"/>
                </w:tcPr>
                <w:p>
                  <w:r>
                    <w:rPr>
                      <w:rFonts w:hint="eastAsia"/>
                    </w:rPr>
                    <w:t>——</w:t>
                  </w:r>
                </w:p>
              </w:tc>
              <w:tc>
                <w:tcPr>
                  <w:tcW w:w="3611" w:type="dxa"/>
                </w:tcPr>
                <w:p>
                  <w:r>
                    <w:rPr>
                      <w:rFonts w:hint="eastAsia"/>
                    </w:rPr>
                    <w:sym w:font="Wingdings 2" w:char="00A3"/>
                  </w:r>
                  <w:r>
                    <w:rPr>
                      <w:rFonts w:hint="eastAsia"/>
                    </w:rPr>
                    <w:t>不因食品安全问题影响周围人员的就业</w:t>
                  </w:r>
                </w:p>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cs="宋体"/>
                <w:szCs w:val="24"/>
              </w:rPr>
              <w:t>相关方及相关方要求清单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确定食品安全管理体系的范围</w:t>
            </w:r>
          </w:p>
        </w:tc>
        <w:tc>
          <w:tcPr>
            <w:tcW w:w="952" w:type="dxa"/>
            <w:vMerge w:val="restart"/>
            <w:shd w:val="clear" w:color="auto" w:fill="auto"/>
          </w:tcPr>
          <w:p>
            <w:r>
              <w:rPr>
                <w:rFonts w:hint="eastAsia"/>
              </w:rPr>
              <w:t>F4.3</w:t>
            </w:r>
          </w:p>
          <w:p/>
        </w:tc>
        <w:tc>
          <w:tcPr>
            <w:tcW w:w="761" w:type="dxa"/>
            <w:shd w:val="clear" w:color="auto" w:fill="auto"/>
          </w:tcPr>
          <w:p>
            <w:r>
              <w:rPr>
                <w:rFonts w:hint="eastAsia"/>
              </w:rPr>
              <w:t>文件名称</w:t>
            </w:r>
          </w:p>
        </w:tc>
        <w:tc>
          <w:tcPr>
            <w:tcW w:w="9370" w:type="dxa"/>
            <w:shd w:val="clear" w:color="auto" w:fill="auto"/>
          </w:tcPr>
          <w:p>
            <w:pPr>
              <w:tabs>
                <w:tab w:val="center" w:pos="4575"/>
              </w:tabs>
            </w:pPr>
            <w:r>
              <w:rPr>
                <w:rFonts w:hint="eastAsia"/>
              </w:rPr>
              <w:t>如：</w:t>
            </w:r>
            <w:r>
              <w:rPr/>
              <w:sym w:font="Wingdings" w:char="00FE"/>
            </w:r>
            <w:r>
              <w:rPr>
                <w:rFonts w:hint="eastAsia"/>
              </w:rPr>
              <w:t xml:space="preserve">管理手册第4.3条款 </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6804"/>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r>
                    <w:rPr>
                      <w:rFonts w:hint="eastAsia"/>
                    </w:rPr>
                    <w:t>范围的项目</w:t>
                  </w:r>
                </w:p>
              </w:tc>
              <w:tc>
                <w:tcPr>
                  <w:tcW w:w="6804" w:type="dxa"/>
                </w:tcPr>
                <w:p>
                  <w:r>
                    <w:rPr>
                      <w:rFonts w:hint="eastAsia"/>
                    </w:rPr>
                    <w:t>内容描述</w:t>
                  </w:r>
                </w:p>
              </w:tc>
              <w:tc>
                <w:tcPr>
                  <w:tcW w:w="74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r>
                    <w:rPr>
                      <w:rFonts w:hint="eastAsia"/>
                    </w:rPr>
                    <w:t>产品或产品类别/服务的过程</w:t>
                  </w:r>
                </w:p>
              </w:tc>
              <w:tc>
                <w:tcPr>
                  <w:tcW w:w="6804" w:type="dxa"/>
                </w:tcPr>
                <w:p>
                  <w:r>
                    <w:rPr>
                      <w:rFonts w:hint="eastAsia"/>
                      <w:sz w:val="20"/>
                    </w:rPr>
                    <w:t>位于重庆市渝中区八一路168号14楼1402重庆味典餐饮管理有限公司的预包装食品（不含冷藏冷冻食品）的销售；位于重庆市江北区紫金山102号重庆市精神卫生中心（病员食堂）的热食类食品制售</w:t>
                  </w:r>
                </w:p>
              </w:tc>
              <w:tc>
                <w:tcPr>
                  <w:tcW w:w="7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r>
                    <w:rPr>
                      <w:rFonts w:hint="eastAsia"/>
                    </w:rPr>
                    <w:t>经营地址（生产/服务场地）</w:t>
                  </w:r>
                </w:p>
              </w:tc>
              <w:tc>
                <w:tcPr>
                  <w:tcW w:w="6804" w:type="dxa"/>
                </w:tcPr>
                <w:p>
                  <w:pPr>
                    <w:rPr>
                      <w:szCs w:val="21"/>
                    </w:rPr>
                  </w:pPr>
                  <w:r>
                    <w:rPr>
                      <w:rFonts w:hint="eastAsia"/>
                    </w:rPr>
                    <w:t>注册地址：</w:t>
                  </w:r>
                  <w:bookmarkStart w:id="0" w:name="注册地址"/>
                  <w:r>
                    <w:rPr>
                      <w:szCs w:val="21"/>
                    </w:rPr>
                    <w:t>重庆市渝中区八一路168号14楼1402</w:t>
                  </w:r>
                  <w:bookmarkEnd w:id="0"/>
                </w:p>
                <w:p>
                  <w:pPr>
                    <w:rPr>
                      <w:rFonts w:hint="eastAsia"/>
                      <w:highlight w:val="none"/>
                    </w:rPr>
                  </w:pPr>
                  <w:r>
                    <w:rPr>
                      <w:rFonts w:hint="eastAsia"/>
                      <w:highlight w:val="none"/>
                    </w:rPr>
                    <w:t>经营地址：</w:t>
                  </w:r>
                  <w:bookmarkStart w:id="1" w:name="生产地址"/>
                </w:p>
                <w:p>
                  <w:pPr>
                    <w:rPr>
                      <w:szCs w:val="21"/>
                    </w:rPr>
                  </w:pPr>
                  <w:r>
                    <w:rPr>
                      <w:rFonts w:hint="eastAsia"/>
                      <w:highlight w:val="none"/>
                      <w:lang w:val="en-US" w:eastAsia="zh-CN"/>
                    </w:rPr>
                    <w:t>(1)</w:t>
                  </w:r>
                  <w:r>
                    <w:rPr>
                      <w:szCs w:val="21"/>
                    </w:rPr>
                    <w:t>重庆市渝中区八一路168号14楼1402</w:t>
                  </w:r>
                  <w:bookmarkEnd w:id="1"/>
                </w:p>
                <w:p>
                  <w:pPr>
                    <w:pStyle w:val="2"/>
                    <w:ind w:left="-594" w:firstLine="630" w:firstLineChars="300"/>
                    <w:rPr>
                      <w:rFonts w:hint="eastAsia"/>
                      <w:sz w:val="21"/>
                      <w:szCs w:val="21"/>
                    </w:rPr>
                  </w:pPr>
                  <w:r>
                    <w:rPr>
                      <w:rFonts w:hint="eastAsia"/>
                      <w:sz w:val="21"/>
                      <w:szCs w:val="21"/>
                      <w:lang w:val="en-US" w:eastAsia="zh-CN"/>
                    </w:rPr>
                    <w:t>(2)</w:t>
                  </w:r>
                  <w:r>
                    <w:rPr>
                      <w:sz w:val="21"/>
                      <w:szCs w:val="21"/>
                    </w:rPr>
                    <w:t>重庆市江北区紫金山102号重庆市精神卫生中心（病员食堂）</w:t>
                  </w:r>
                  <w:r>
                    <w:rPr>
                      <w:rFonts w:hint="eastAsia"/>
                      <w:sz w:val="21"/>
                      <w:szCs w:val="21"/>
                    </w:rPr>
                    <w:t>（承包</w:t>
                  </w:r>
                </w:p>
                <w:p>
                  <w:pPr>
                    <w:pStyle w:val="2"/>
                    <w:ind w:left="-594" w:firstLine="840" w:firstLineChars="400"/>
                  </w:pPr>
                  <w:r>
                    <w:rPr>
                      <w:rFonts w:hint="eastAsia"/>
                      <w:sz w:val="21"/>
                      <w:szCs w:val="21"/>
                    </w:rPr>
                    <w:t>食堂）</w:t>
                  </w:r>
                </w:p>
              </w:tc>
              <w:tc>
                <w:tcPr>
                  <w:tcW w:w="7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r>
                    <w:rPr>
                      <w:rFonts w:hint="eastAsia"/>
                    </w:rPr>
                    <w:t>临时现场</w:t>
                  </w:r>
                </w:p>
              </w:tc>
              <w:tc>
                <w:tcPr>
                  <w:tcW w:w="6804" w:type="dxa"/>
                </w:tcPr>
                <w:p>
                  <w:r>
                    <w:rPr>
                      <w:rFonts w:hint="eastAsia"/>
                    </w:rPr>
                    <w:t>——</w:t>
                  </w:r>
                </w:p>
              </w:tc>
              <w:tc>
                <w:tcPr>
                  <w:tcW w:w="7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r>
                    <w:rPr>
                      <w:rFonts w:hint="eastAsia"/>
                    </w:rPr>
                    <w:t>多场所</w:t>
                  </w:r>
                </w:p>
              </w:tc>
              <w:tc>
                <w:tcPr>
                  <w:tcW w:w="6804" w:type="dxa"/>
                </w:tcPr>
                <w:p>
                  <w:r>
                    <w:rPr>
                      <w:rFonts w:hint="eastAsia"/>
                    </w:rPr>
                    <w:t>——</w:t>
                  </w:r>
                </w:p>
              </w:tc>
              <w:tc>
                <w:tcPr>
                  <w:tcW w:w="7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r>
                    <w:rPr>
                      <w:rFonts w:hint="eastAsia"/>
                    </w:rPr>
                    <w:t>组织单元（部门/分支）</w:t>
                  </w:r>
                </w:p>
              </w:tc>
              <w:tc>
                <w:tcPr>
                  <w:tcW w:w="6804"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7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r>
                    <w:rPr>
                      <w:rFonts w:hint="eastAsia"/>
                    </w:rPr>
                    <w:t>时间</w:t>
                  </w:r>
                </w:p>
              </w:tc>
              <w:tc>
                <w:tcPr>
                  <w:tcW w:w="6804" w:type="dxa"/>
                </w:tcPr>
                <w:p>
                  <w:r>
                    <w:rPr>
                      <w:rFonts w:hint="eastAsia"/>
                    </w:rPr>
                    <w:sym w:font="Wingdings" w:char="00FE"/>
                  </w:r>
                  <w:r>
                    <w:rPr>
                      <w:rFonts w:hint="eastAsia"/>
                    </w:rPr>
                    <w:t xml:space="preserve"> 体系建立以来：2021-03-25</w:t>
                  </w:r>
                </w:p>
                <w:p>
                  <w:r>
                    <w:rPr>
                      <w:rFonts w:hint="eastAsia"/>
                    </w:rPr>
                    <w:sym w:font="Wingdings" w:char="00A8"/>
                  </w:r>
                </w:p>
              </w:tc>
              <w:tc>
                <w:tcPr>
                  <w:tcW w:w="748" w:type="dxa"/>
                </w:tcPr>
                <w:p/>
              </w:tc>
            </w:tr>
          </w:tbl>
          <w:p/>
          <w:p>
            <w:pPr>
              <w:rPr>
                <w:color w:val="000000"/>
                <w:szCs w:val="21"/>
              </w:rPr>
            </w:pPr>
            <w:r>
              <w:rPr>
                <w:rFonts w:hint="eastAsia"/>
                <w:color w:val="000000"/>
                <w:szCs w:val="21"/>
              </w:rPr>
              <w:t>在企业的管理手册中有描述。</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食品安全管理体系</w:t>
            </w:r>
          </w:p>
        </w:tc>
        <w:tc>
          <w:tcPr>
            <w:tcW w:w="952" w:type="dxa"/>
            <w:vMerge w:val="restart"/>
            <w:shd w:val="clear" w:color="auto" w:fill="auto"/>
          </w:tcPr>
          <w:p>
            <w:r>
              <w:rPr>
                <w:rFonts w:hint="eastAsia"/>
              </w:rPr>
              <w:t xml:space="preserve">F4.4 </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管理手册第4.4条款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w:t>
            </w:r>
            <w:r>
              <w:rPr>
                <w:rFonts w:hint="eastAsia"/>
              </w:rPr>
              <w:sym w:font="Wingdings 2" w:char="00A3"/>
            </w:r>
            <w:r>
              <w:rPr>
                <w:rFonts w:hint="eastAsia"/>
              </w:rPr>
              <w:t>冷库冷柜设备维保</w:t>
            </w:r>
          </w:p>
          <w:p>
            <w:pPr>
              <w:pStyle w:val="2"/>
              <w:rPr>
                <w:rFonts w:hint="default" w:eastAsia="宋体"/>
                <w:lang w:val="en-US" w:eastAsia="zh-CN"/>
              </w:rPr>
            </w:pPr>
            <w:r>
              <w:rPr>
                <w:rFonts w:hint="eastAsia"/>
              </w:rPr>
              <w:sym w:font="Wingdings 2" w:char="0052"/>
            </w:r>
            <w:r>
              <w:rPr>
                <w:rFonts w:hint="eastAsia"/>
                <w:sz w:val="21"/>
                <w:szCs w:val="21"/>
                <w:lang w:val="en-US" w:eastAsia="zh-CN"/>
              </w:rPr>
              <w:t>运输车辆外包</w:t>
            </w: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领导作用与承诺</w:t>
            </w:r>
          </w:p>
        </w:tc>
        <w:tc>
          <w:tcPr>
            <w:tcW w:w="952" w:type="dxa"/>
            <w:vMerge w:val="restart"/>
            <w:shd w:val="clear" w:color="auto" w:fill="auto"/>
          </w:tcPr>
          <w:p>
            <w:r>
              <w:rPr>
                <w:rFonts w:hint="eastAsia"/>
              </w:rPr>
              <w:t>F5.1</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rFonts w:hint="eastAsia"/>
              </w:rPr>
              <w:sym w:font="Wingdings" w:char="00FE"/>
            </w:r>
            <w:r>
              <w:rPr>
                <w:rFonts w:hint="eastAsia"/>
              </w:rPr>
              <w:t>管理手册第5.1条款和“总经理岗位职责”</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食品安全方针</w:t>
            </w:r>
          </w:p>
        </w:tc>
        <w:tc>
          <w:tcPr>
            <w:tcW w:w="952" w:type="dxa"/>
            <w:vMerge w:val="restart"/>
            <w:shd w:val="clear" w:color="auto" w:fill="auto"/>
          </w:tcPr>
          <w:p>
            <w:r>
              <w:rPr>
                <w:rFonts w:hint="eastAsia"/>
              </w:rPr>
              <w:t>F5.2</w:t>
            </w:r>
          </w:p>
        </w:tc>
        <w:tc>
          <w:tcPr>
            <w:tcW w:w="761" w:type="dxa"/>
            <w:shd w:val="clear" w:color="auto" w:fill="auto"/>
          </w:tcPr>
          <w:p>
            <w:r>
              <w:rPr>
                <w:rFonts w:hint="eastAsia"/>
              </w:rPr>
              <w:t>文件名称</w:t>
            </w:r>
          </w:p>
        </w:tc>
        <w:tc>
          <w:tcPr>
            <w:tcW w:w="9370" w:type="dxa"/>
            <w:shd w:val="clear" w:color="auto" w:fill="auto"/>
          </w:tcPr>
          <w:p>
            <w:pPr>
              <w:adjustRightInd w:val="0"/>
              <w:snapToGrid w:val="0"/>
              <w:spacing w:line="360" w:lineRule="auto"/>
              <w:outlineLvl w:val="0"/>
            </w:pPr>
            <w:r>
              <w:rPr>
                <w:rFonts w:hint="eastAsia"/>
              </w:rPr>
              <w:t>如：</w:t>
            </w:r>
            <w:r>
              <w:rPr>
                <w:rFonts w:hint="eastAsia"/>
              </w:rPr>
              <w:sym w:font="Wingdings" w:char="00FE"/>
            </w:r>
            <w:r>
              <w:rPr>
                <w:rFonts w:hint="eastAsia"/>
              </w:rPr>
              <w:t>管理手册第5.2章、</w:t>
            </w:r>
            <w:r>
              <w:rPr>
                <w:rFonts w:hint="eastAsia"/>
              </w:rPr>
              <w:sym w:font="Wingdings" w:char="00A8"/>
            </w:r>
            <w:r>
              <w:rPr>
                <w:rFonts w:hint="eastAsia"/>
              </w:rPr>
              <w:t>《</w:t>
            </w:r>
            <w:bookmarkStart w:id="2" w:name="_Toc154807529"/>
            <w:bookmarkStart w:id="3" w:name="_Toc10294"/>
            <w:bookmarkStart w:id="4" w:name="_Toc145400879"/>
            <w:bookmarkStart w:id="5" w:name="_Toc146529956"/>
            <w:bookmarkStart w:id="6" w:name="_Toc149970707"/>
            <w:bookmarkStart w:id="7" w:name="_Toc145402008"/>
            <w:r>
              <w:rPr>
                <w:rFonts w:hint="eastAsia"/>
              </w:rPr>
              <w:t>0.2 食品安全方针、目标</w:t>
            </w:r>
            <w:bookmarkEnd w:id="2"/>
            <w:bookmarkEnd w:id="3"/>
            <w:bookmarkEnd w:id="4"/>
            <w:bookmarkEnd w:id="5"/>
            <w:bookmarkEnd w:id="6"/>
            <w:bookmarkEnd w:id="7"/>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rPr>
                <w:u w:val="single"/>
              </w:rPr>
            </w:pPr>
            <w:r>
              <w:rPr>
                <w:rFonts w:hint="eastAsia"/>
                <w:color w:val="000000"/>
                <w:szCs w:val="21"/>
              </w:rPr>
              <w:t xml:space="preserve"> </w:t>
            </w:r>
            <w:r>
              <w:rPr>
                <w:rFonts w:hint="eastAsia"/>
              </w:rPr>
              <w:t>最高管理者制定了文件化的食品安全体系方针：</w:t>
            </w:r>
          </w:p>
          <w:p>
            <w:pPr>
              <w:ind w:firstLine="1687" w:firstLineChars="800"/>
              <w:rPr>
                <w:szCs w:val="22"/>
                <w:u w:val="single"/>
              </w:rPr>
            </w:pPr>
            <w:r>
              <w:rPr>
                <w:rFonts w:asciiTheme="minorEastAsia" w:hAnsiTheme="minorEastAsia" w:eastAsiaTheme="minorEastAsia"/>
                <w:b/>
                <w:bCs/>
                <w:color w:val="000000"/>
                <w:szCs w:val="21"/>
                <w:u w:val="single"/>
              </w:rPr>
              <w:t>食品安全你我共同责任</w:t>
            </w:r>
            <w:r>
              <w:rPr>
                <w:rFonts w:hint="eastAsia" w:asciiTheme="minorEastAsia" w:hAnsiTheme="minorEastAsia" w:eastAsiaTheme="minorEastAsia"/>
                <w:b/>
                <w:bCs/>
                <w:color w:val="000000"/>
                <w:szCs w:val="21"/>
                <w:u w:val="single"/>
              </w:rPr>
              <w:t>，</w:t>
            </w:r>
            <w:r>
              <w:rPr>
                <w:rFonts w:asciiTheme="minorEastAsia" w:hAnsiTheme="minorEastAsia" w:eastAsiaTheme="minorEastAsia"/>
                <w:b/>
                <w:bCs/>
                <w:color w:val="000000"/>
                <w:szCs w:val="21"/>
                <w:u w:val="single"/>
              </w:rPr>
              <w:t>食品安全你我共同心愿</w:t>
            </w:r>
            <w:r>
              <w:rPr>
                <w:rFonts w:hint="eastAsia"/>
                <w:szCs w:val="22"/>
                <w:u w:val="single"/>
              </w:rPr>
              <w:t>。</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A8"/>
            </w:r>
            <w:r>
              <w:rPr>
                <w:rFonts w:hint="eastAsia"/>
              </w:rPr>
              <w:t xml:space="preserve">宣传册 </w:t>
            </w:r>
            <w:r>
              <w:rPr>
                <w:rFonts w:hint="eastAsia"/>
              </w:rPr>
              <w:sym w:font="Wingdings" w:char="00FE"/>
            </w:r>
            <w:r>
              <w:rPr>
                <w:rFonts w:hint="eastAsia"/>
              </w:rPr>
              <w:t>其他——招投标</w:t>
            </w:r>
          </w:p>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组织的角色、职责和权限</w:t>
            </w:r>
          </w:p>
          <w:p/>
        </w:tc>
        <w:tc>
          <w:tcPr>
            <w:tcW w:w="952" w:type="dxa"/>
            <w:vMerge w:val="restart"/>
            <w:shd w:val="clear" w:color="auto" w:fill="auto"/>
          </w:tcPr>
          <w:p>
            <w:r>
              <w:rPr>
                <w:rFonts w:hint="eastAsia"/>
              </w:rPr>
              <w:t>F5.3</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管理手册第5.3章</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采购部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0" w:type="dxa"/>
                </w:tcPr>
                <w:p>
                  <w:r>
                    <w:rPr>
                      <w:rFonts w:hint="eastAsia"/>
                    </w:rPr>
                    <w:t>人员健康</w:t>
                  </w:r>
                </w:p>
              </w:tc>
              <w:tc>
                <w:tcPr>
                  <w:tcW w:w="2261" w:type="dxa"/>
                </w:tcPr>
                <w:p>
                  <w:r>
                    <w:rPr>
                      <w:rFonts w:hint="eastAsia"/>
                    </w:rPr>
                    <w:t>综合部</w:t>
                  </w:r>
                </w:p>
              </w:tc>
              <w:tc>
                <w:tcPr>
                  <w:tcW w:w="2261" w:type="dxa"/>
                </w:tcPr>
                <w:p>
                  <w:r>
                    <w:rPr>
                      <w:rFonts w:hint="eastAsia"/>
                    </w:rPr>
                    <w:t>基础设施</w:t>
                  </w:r>
                </w:p>
              </w:tc>
              <w:tc>
                <w:tcPr>
                  <w:tcW w:w="2261" w:type="dxa"/>
                </w:tcPr>
                <w:p>
                  <w:r>
                    <w:rPr>
                      <w:rFonts w:hint="eastAsi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pPr>
              <w:rPr>
                <w:rFonts w:hint="default" w:eastAsia="宋体"/>
                <w:lang w:val="en-US" w:eastAsia="zh-CN"/>
              </w:rPr>
            </w:pPr>
            <w:r>
              <w:rPr>
                <w:rFonts w:hint="eastAsia"/>
              </w:rPr>
              <w:sym w:font="Wingdings" w:char="00FE"/>
            </w:r>
            <w:r>
              <w:rPr>
                <w:rFonts w:hint="eastAsia"/>
              </w:rPr>
              <w:t>HACCP小组长：</w:t>
            </w:r>
            <w:r>
              <w:rPr>
                <w:rFonts w:hint="eastAsia"/>
                <w:u w:val="single"/>
              </w:rPr>
              <w:t>吴</w:t>
            </w:r>
            <w:r>
              <w:rPr>
                <w:u w:val="single"/>
              </w:rPr>
              <w:t>永利</w:t>
            </w:r>
            <w:r>
              <w:rPr>
                <w:rFonts w:hint="eastAsia"/>
                <w:u w:val="single"/>
              </w:rPr>
              <w:t xml:space="preserve">  先生 </w:t>
            </w:r>
            <w:r>
              <w:rPr>
                <w:rFonts w:hint="eastAsia"/>
              </w:rPr>
              <w:t>，</w:t>
            </w:r>
            <w:r>
              <w:rPr>
                <w:rFonts w:hint="eastAsia"/>
                <w:lang w:val="en-US" w:eastAsia="zh-CN"/>
              </w:rPr>
              <w:t>食品安全小组副组长：郑璐奇女士</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70" w:type="dxa"/>
          </w:tcPr>
          <w:p>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手册第6.1条款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vMerge w:val="continue"/>
          </w:tcPr>
          <w:p>
            <w:pPr>
              <w:rPr>
                <w:color w:val="000000"/>
                <w:szCs w:val="21"/>
              </w:rPr>
            </w:pPr>
          </w:p>
        </w:tc>
        <w:tc>
          <w:tcPr>
            <w:tcW w:w="761" w:type="dxa"/>
          </w:tcPr>
          <w:p>
            <w:r>
              <w:rPr>
                <w:rFonts w:hint="eastAsia"/>
              </w:rPr>
              <w:t>运行证据</w:t>
            </w:r>
          </w:p>
        </w:tc>
        <w:tc>
          <w:tcPr>
            <w:tcW w:w="9370"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A8"/>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1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4"/>
                    </w:rPr>
                  </w:pPr>
                  <w:r>
                    <w:rPr>
                      <w:rFonts w:hint="eastAsia"/>
                      <w:szCs w:val="24"/>
                    </w:rPr>
                    <w:t>受新冠疫情影响，客户对食材类的质量和食品安全要求越来越高</w:t>
                  </w:r>
                </w:p>
              </w:tc>
              <w:tc>
                <w:tcPr>
                  <w:tcW w:w="3421" w:type="dxa"/>
                </w:tcPr>
                <w:p>
                  <w:pPr>
                    <w:rPr>
                      <w:szCs w:val="24"/>
                    </w:rPr>
                  </w:pPr>
                  <w:r>
                    <w:rPr>
                      <w:rFonts w:hint="eastAsia"/>
                    </w:rPr>
                    <w:t>严格控制供方，建立稳定合作，索证齐全，储存和运输按照规定控制；</w:t>
                  </w:r>
                </w:p>
              </w:tc>
              <w:tc>
                <w:tcPr>
                  <w:tcW w:w="21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受区域管理政策影响，对食品存储条件如冷库等的审批暂停，对企业发展和规模带来影响</w:t>
                  </w:r>
                </w:p>
              </w:tc>
              <w:tc>
                <w:tcPr>
                  <w:tcW w:w="3421" w:type="dxa"/>
                  <w:vAlign w:val="center"/>
                </w:tcPr>
                <w:p>
                  <w:pPr>
                    <w:widowControl/>
                    <w:jc w:val="left"/>
                    <w:textAlignment w:val="center"/>
                  </w:pPr>
                  <w:r>
                    <w:rPr>
                      <w:rFonts w:hint="eastAsia"/>
                    </w:rPr>
                    <w:t>积极协调库房等外部条件支持；提高库房管理能力和使用效率</w:t>
                  </w:r>
                </w:p>
              </w:tc>
              <w:tc>
                <w:tcPr>
                  <w:tcW w:w="2117" w:type="dxa"/>
                </w:tcPr>
                <w:p>
                  <w:r>
                    <w:rPr>
                      <w:rFonts w:hint="eastAsia"/>
                    </w:rPr>
                    <w:t>基本有效</w:t>
                  </w:r>
                </w:p>
              </w:tc>
            </w:tr>
          </w:tbl>
          <w:p>
            <w:pPr>
              <w:pStyle w:val="2"/>
              <w:ind w:left="0" w:leftChars="0" w:firstLine="0" w:firstLineChars="0"/>
            </w:pPr>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8"/>
              <w:tblpPr w:leftFromText="180" w:rightFromText="180" w:vertAnchor="text" w:horzAnchor="page" w:tblpX="106" w:tblpY="206"/>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136"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45" w:type="dxa"/>
                  <w:vAlign w:val="center"/>
                </w:tcPr>
                <w:p>
                  <w:pPr>
                    <w:rPr>
                      <w:szCs w:val="24"/>
                    </w:rPr>
                  </w:pPr>
                  <w:r>
                    <w:rPr>
                      <w:rFonts w:hint="eastAsia"/>
                      <w:szCs w:val="24"/>
                    </w:rPr>
                    <w:t>核心客户主要为单</w:t>
                  </w:r>
                  <w:r>
                    <w:rPr>
                      <w:szCs w:val="24"/>
                    </w:rPr>
                    <w:t>位</w:t>
                  </w:r>
                  <w:r>
                    <w:rPr>
                      <w:rFonts w:hint="eastAsia"/>
                      <w:szCs w:val="24"/>
                    </w:rPr>
                    <w:t>食堂，客户订单较稳定，满足经营运行需求；潜在客户规模不断增长；</w:t>
                  </w:r>
                </w:p>
              </w:tc>
              <w:tc>
                <w:tcPr>
                  <w:tcW w:w="3760" w:type="dxa"/>
                </w:tcPr>
                <w:p>
                  <w:pPr>
                    <w:rPr>
                      <w:szCs w:val="24"/>
                    </w:rPr>
                  </w:pPr>
                  <w:r>
                    <w:rPr>
                      <w:rFonts w:hint="eastAsia"/>
                      <w:szCs w:val="24"/>
                    </w:rPr>
                    <w:t>建立食品安全管理制度、规范化管理、对人员培训，提升管理能力。</w:t>
                  </w:r>
                </w:p>
              </w:tc>
              <w:tc>
                <w:tcPr>
                  <w:tcW w:w="2136" w:type="dxa"/>
                </w:tcPr>
                <w:p>
                  <w:pPr>
                    <w:rPr>
                      <w:szCs w:val="24"/>
                    </w:rPr>
                  </w:pPr>
                  <w:r>
                    <w:rPr>
                      <w:rFonts w:hint="eastAsia"/>
                      <w:szCs w:val="24"/>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r>
                    <w:rPr>
                      <w:rFonts w:hint="eastAsia"/>
                      <w:szCs w:val="24"/>
                    </w:rPr>
                    <w:t>积极拓展现有业务以外的客户群体，例如单</w:t>
                  </w:r>
                  <w:r>
                    <w:rPr>
                      <w:szCs w:val="24"/>
                    </w:rPr>
                    <w:t>位</w:t>
                  </w:r>
                  <w:r>
                    <w:rPr>
                      <w:rFonts w:hint="eastAsia"/>
                      <w:szCs w:val="24"/>
                    </w:rPr>
                    <w:t>食堂等客户，部分已经展开合作</w:t>
                  </w:r>
                </w:p>
              </w:tc>
              <w:tc>
                <w:tcPr>
                  <w:tcW w:w="3760" w:type="dxa"/>
                </w:tcPr>
                <w:p>
                  <w:pPr>
                    <w:rPr>
                      <w:szCs w:val="24"/>
                    </w:rPr>
                  </w:pPr>
                  <w:r>
                    <w:rPr>
                      <w:rFonts w:hint="eastAsia"/>
                      <w:szCs w:val="24"/>
                    </w:rPr>
                    <w:t>建立和运行食品安全管理制度，了解和明确新客户类型对食品质量安　全各方面的要求条件，积极满足并持续优化</w:t>
                  </w:r>
                </w:p>
              </w:tc>
              <w:tc>
                <w:tcPr>
                  <w:tcW w:w="2136" w:type="dxa"/>
                </w:tcPr>
                <w:p>
                  <w:pPr>
                    <w:rPr>
                      <w:szCs w:val="24"/>
                    </w:rPr>
                  </w:pPr>
                  <w:r>
                    <w:rPr>
                      <w:rFonts w:hint="eastAsia"/>
                      <w:szCs w:val="24"/>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 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tcPr>
          <w:p>
            <w:r>
              <w:rPr>
                <w:rFonts w:hint="eastAsia"/>
                <w:color w:val="000000"/>
                <w:szCs w:val="21"/>
              </w:rPr>
              <w:t>F6.1.2</w:t>
            </w:r>
          </w:p>
        </w:tc>
        <w:tc>
          <w:tcPr>
            <w:tcW w:w="761" w:type="dxa"/>
          </w:tcPr>
          <w:p>
            <w:r>
              <w:rPr>
                <w:rFonts w:hint="eastAsia"/>
              </w:rPr>
              <w:t>运行证据</w:t>
            </w:r>
          </w:p>
        </w:tc>
        <w:tc>
          <w:tcPr>
            <w:tcW w:w="9370"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解决这些风险和机遇的行动;——企业提供了《风险和机遇评估分析及措施表》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tcPr>
          <w:p>
            <w:r>
              <w:rPr>
                <w:rFonts w:hint="eastAsia"/>
                <w:color w:val="000000"/>
                <w:szCs w:val="21"/>
              </w:rPr>
              <w:t>F6.1.3</w:t>
            </w:r>
          </w:p>
        </w:tc>
        <w:tc>
          <w:tcPr>
            <w:tcW w:w="761" w:type="dxa"/>
          </w:tcPr>
          <w:p>
            <w:r>
              <w:rPr>
                <w:rFonts w:hint="eastAsia"/>
              </w:rPr>
              <w:t>运行证据</w:t>
            </w:r>
          </w:p>
        </w:tc>
        <w:tc>
          <w:tcPr>
            <w:tcW w:w="9370"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vMerge w:val="restart"/>
          </w:tcPr>
          <w:p>
            <w:r>
              <w:rPr>
                <w:rFonts w:hint="eastAsia"/>
                <w:color w:val="000000"/>
                <w:szCs w:val="21"/>
              </w:rPr>
              <w:t>F6.2</w:t>
            </w:r>
          </w:p>
        </w:tc>
        <w:tc>
          <w:tcPr>
            <w:tcW w:w="761" w:type="dxa"/>
          </w:tcPr>
          <w:p>
            <w:r>
              <w:rPr>
                <w:rFonts w:hint="eastAsia"/>
              </w:rPr>
              <w:t>文件名称</w:t>
            </w:r>
          </w:p>
        </w:tc>
        <w:tc>
          <w:tcPr>
            <w:tcW w:w="9370" w:type="dxa"/>
          </w:tcPr>
          <w:p>
            <w:r>
              <w:rPr>
                <w:rFonts w:hint="eastAsia"/>
              </w:rPr>
              <w:t>如：</w:t>
            </w:r>
            <w:r>
              <w:rPr/>
              <w:sym w:font="Wingdings" w:char="00FE"/>
            </w:r>
            <w:r>
              <w:rPr>
                <w:rFonts w:hint="eastAsia"/>
              </w:rPr>
              <w:t>手册第6.2条款、</w:t>
            </w:r>
            <w:r>
              <w:rPr/>
              <w:sym w:font="Wingdings" w:char="00FE"/>
            </w:r>
            <w:r>
              <w:rPr>
                <w:rFonts w:hint="eastAsia"/>
              </w:rPr>
              <w:t>《食品安全目标分解及考核统计表》</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134"/>
              <w:gridCol w:w="291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color w:val="000000"/>
                      <w:szCs w:val="18"/>
                    </w:rPr>
                  </w:pPr>
                  <w:r>
                    <w:rPr>
                      <w:rFonts w:hint="eastAsia"/>
                      <w:color w:val="000000"/>
                      <w:szCs w:val="18"/>
                    </w:rPr>
                    <w:t>目标</w:t>
                  </w:r>
                </w:p>
              </w:tc>
              <w:tc>
                <w:tcPr>
                  <w:tcW w:w="1134" w:type="dxa"/>
                </w:tcPr>
                <w:p>
                  <w:pPr>
                    <w:widowControl/>
                    <w:spacing w:before="40"/>
                    <w:jc w:val="left"/>
                    <w:rPr>
                      <w:color w:val="000000"/>
                      <w:szCs w:val="18"/>
                    </w:rPr>
                  </w:pPr>
                  <w:r>
                    <w:rPr>
                      <w:rFonts w:hint="eastAsia"/>
                      <w:color w:val="000000"/>
                      <w:szCs w:val="18"/>
                    </w:rPr>
                    <w:t>考核频次</w:t>
                  </w:r>
                </w:p>
              </w:tc>
              <w:tc>
                <w:tcPr>
                  <w:tcW w:w="2919" w:type="dxa"/>
                </w:tcPr>
                <w:p>
                  <w:pPr>
                    <w:widowControl/>
                    <w:spacing w:before="40"/>
                    <w:jc w:val="left"/>
                    <w:rPr>
                      <w:color w:val="000000"/>
                      <w:szCs w:val="18"/>
                    </w:rPr>
                  </w:pPr>
                  <w:r>
                    <w:rPr>
                      <w:rFonts w:hint="eastAsia"/>
                      <w:color w:val="000000"/>
                      <w:szCs w:val="18"/>
                    </w:rPr>
                    <w:t>计算方法</w:t>
                  </w:r>
                </w:p>
              </w:tc>
              <w:tc>
                <w:tcPr>
                  <w:tcW w:w="1905" w:type="dxa"/>
                </w:tcPr>
                <w:p>
                  <w:pPr>
                    <w:widowControl/>
                    <w:spacing w:before="40"/>
                    <w:jc w:val="left"/>
                    <w:rPr>
                      <w:color w:val="000000"/>
                      <w:szCs w:val="18"/>
                    </w:rPr>
                  </w:pPr>
                  <w:r>
                    <w:rPr>
                      <w:rFonts w:hint="eastAsia"/>
                      <w:color w:val="000000"/>
                      <w:szCs w:val="18"/>
                    </w:rPr>
                    <w:t>完成情况</w:t>
                  </w:r>
                </w:p>
                <w:p>
                  <w:pPr>
                    <w:widowControl/>
                    <w:spacing w:before="40"/>
                    <w:jc w:val="left"/>
                    <w:rPr>
                      <w:color w:val="000000"/>
                      <w:szCs w:val="18"/>
                    </w:rPr>
                  </w:pPr>
                  <w:r>
                    <w:rPr>
                      <w:rFonts w:hint="eastAsia"/>
                      <w:color w:val="000000"/>
                      <w:szCs w:val="18"/>
                    </w:rPr>
                    <w:t>（2</w:t>
                  </w:r>
                  <w:r>
                    <w:rPr>
                      <w:color w:val="000000"/>
                      <w:szCs w:val="18"/>
                    </w:rPr>
                    <w:t>021</w:t>
                  </w:r>
                  <w:r>
                    <w:rPr>
                      <w:rFonts w:hint="eastAsia"/>
                      <w:color w:val="000000"/>
                      <w:szCs w:val="18"/>
                    </w:rPr>
                    <w:t>年1~8月）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rPr>
                      <w:rFonts w:ascii="宋体" w:hAnsi="宋体"/>
                      <w:color w:val="000000"/>
                      <w:szCs w:val="21"/>
                    </w:rPr>
                  </w:pPr>
                  <w:r>
                    <w:rPr>
                      <w:rFonts w:hint="eastAsia" w:ascii="宋体" w:hAnsi="宋体"/>
                      <w:color w:val="000000"/>
                      <w:szCs w:val="21"/>
                    </w:rPr>
                    <w:t>货品保管破损率小于0.03%；</w:t>
                  </w:r>
                </w:p>
                <w:p>
                  <w:pPr>
                    <w:widowControl/>
                    <w:spacing w:before="40"/>
                    <w:jc w:val="left"/>
                    <w:rPr>
                      <w:color w:val="000000"/>
                      <w:szCs w:val="21"/>
                    </w:rPr>
                  </w:pPr>
                </w:p>
              </w:tc>
              <w:tc>
                <w:tcPr>
                  <w:tcW w:w="1134" w:type="dxa"/>
                </w:tcPr>
                <w:p>
                  <w:pPr>
                    <w:widowControl/>
                    <w:spacing w:before="40"/>
                    <w:jc w:val="left"/>
                    <w:rPr>
                      <w:color w:val="000000"/>
                      <w:szCs w:val="21"/>
                    </w:rPr>
                  </w:pPr>
                  <w:r>
                    <w:rPr>
                      <w:rFonts w:hint="eastAsia"/>
                      <w:color w:val="000000"/>
                      <w:szCs w:val="21"/>
                    </w:rPr>
                    <w:t>每</w:t>
                  </w:r>
                  <w:r>
                    <w:rPr>
                      <w:color w:val="000000"/>
                      <w:szCs w:val="21"/>
                    </w:rPr>
                    <w:t>年</w:t>
                  </w:r>
                </w:p>
              </w:tc>
              <w:tc>
                <w:tcPr>
                  <w:tcW w:w="2919" w:type="dxa"/>
                </w:tcPr>
                <w:p>
                  <w:pPr>
                    <w:widowControl/>
                    <w:spacing w:before="40"/>
                    <w:ind w:left="840" w:hanging="840" w:hangingChars="400"/>
                    <w:jc w:val="left"/>
                    <w:rPr>
                      <w:color w:val="000000"/>
                      <w:szCs w:val="21"/>
                      <w:highlight w:val="cyan"/>
                    </w:rPr>
                  </w:pPr>
                  <w:r>
                    <w:rPr>
                      <w:rFonts w:hint="eastAsia"/>
                      <w:color w:val="000000"/>
                      <w:szCs w:val="21"/>
                    </w:rPr>
                    <w:t>破损数/保管商品数*100%</w:t>
                  </w:r>
                </w:p>
              </w:tc>
              <w:tc>
                <w:tcPr>
                  <w:tcW w:w="1905" w:type="dxa"/>
                </w:tcPr>
                <w:p>
                  <w:pPr>
                    <w:widowControl/>
                    <w:spacing w:before="40"/>
                    <w:jc w:val="left"/>
                    <w:rPr>
                      <w:color w:val="000000"/>
                      <w:szCs w:val="21"/>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color w:val="000000"/>
                      <w:szCs w:val="21"/>
                    </w:rPr>
                  </w:pPr>
                  <w:r>
                    <w:rPr>
                      <w:rFonts w:hint="eastAsia"/>
                      <w:color w:val="000000"/>
                      <w:szCs w:val="21"/>
                    </w:rPr>
                    <w:t>食品安全事故为零</w:t>
                  </w:r>
                </w:p>
              </w:tc>
              <w:tc>
                <w:tcPr>
                  <w:tcW w:w="1134" w:type="dxa"/>
                </w:tcPr>
                <w:p>
                  <w:pPr>
                    <w:widowControl/>
                    <w:spacing w:before="40"/>
                    <w:jc w:val="left"/>
                    <w:rPr>
                      <w:color w:val="000000"/>
                      <w:szCs w:val="21"/>
                    </w:rPr>
                  </w:pPr>
                  <w:r>
                    <w:rPr>
                      <w:rFonts w:hint="eastAsia"/>
                      <w:color w:val="000000"/>
                      <w:szCs w:val="21"/>
                    </w:rPr>
                    <w:t>每年</w:t>
                  </w:r>
                </w:p>
              </w:tc>
              <w:tc>
                <w:tcPr>
                  <w:tcW w:w="2919" w:type="dxa"/>
                </w:tcPr>
                <w:p>
                  <w:pPr>
                    <w:widowControl/>
                    <w:spacing w:before="40"/>
                    <w:jc w:val="left"/>
                    <w:rPr>
                      <w:color w:val="000000"/>
                      <w:szCs w:val="21"/>
                      <w:highlight w:val="yellow"/>
                    </w:rPr>
                  </w:pPr>
                  <w:r>
                    <w:rPr>
                      <w:rFonts w:hint="eastAsia"/>
                      <w:color w:val="000000"/>
                      <w:szCs w:val="21"/>
                    </w:rPr>
                    <w:t>实际</w:t>
                  </w:r>
                  <w:r>
                    <w:rPr>
                      <w:color w:val="000000"/>
                      <w:szCs w:val="21"/>
                    </w:rPr>
                    <w:t>食品安全事故发生次数</w:t>
                  </w:r>
                </w:p>
              </w:tc>
              <w:tc>
                <w:tcPr>
                  <w:tcW w:w="1905" w:type="dxa"/>
                </w:tcPr>
                <w:p>
                  <w:pPr>
                    <w:widowControl/>
                    <w:spacing w:before="40"/>
                    <w:jc w:val="left"/>
                    <w:rPr>
                      <w:color w:val="000000"/>
                      <w:szCs w:val="21"/>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rPr>
                      <w:rFonts w:ascii="宋体" w:hAnsi="宋体"/>
                      <w:color w:val="000000"/>
                      <w:szCs w:val="21"/>
                    </w:rPr>
                  </w:pPr>
                  <w:r>
                    <w:rPr>
                      <w:rFonts w:hint="eastAsia" w:ascii="宋体" w:hAnsi="宋体"/>
                      <w:color w:val="000000"/>
                      <w:szCs w:val="21"/>
                    </w:rPr>
                    <w:t>送货及时率1</w:t>
                  </w:r>
                  <w:r>
                    <w:rPr>
                      <w:rFonts w:ascii="宋体" w:hAnsi="宋体"/>
                      <w:color w:val="000000"/>
                      <w:szCs w:val="21"/>
                    </w:rPr>
                    <w:t>00</w:t>
                  </w:r>
                  <w:r>
                    <w:rPr>
                      <w:rFonts w:hint="eastAsia" w:ascii="宋体" w:hAnsi="宋体"/>
                      <w:color w:val="000000"/>
                      <w:szCs w:val="21"/>
                    </w:rPr>
                    <w:t>%</w:t>
                  </w:r>
                </w:p>
                <w:p>
                  <w:pPr>
                    <w:widowControl/>
                    <w:spacing w:before="40"/>
                    <w:jc w:val="left"/>
                    <w:rPr>
                      <w:color w:val="000000"/>
                      <w:szCs w:val="21"/>
                    </w:rPr>
                  </w:pPr>
                </w:p>
              </w:tc>
              <w:tc>
                <w:tcPr>
                  <w:tcW w:w="1134" w:type="dxa"/>
                </w:tcPr>
                <w:p>
                  <w:pPr>
                    <w:widowControl/>
                    <w:spacing w:before="40"/>
                    <w:jc w:val="left"/>
                    <w:rPr>
                      <w:color w:val="000000"/>
                      <w:szCs w:val="21"/>
                      <w:highlight w:val="cyan"/>
                    </w:rPr>
                  </w:pPr>
                  <w:r>
                    <w:rPr>
                      <w:rFonts w:hint="eastAsia"/>
                      <w:color w:val="000000"/>
                      <w:szCs w:val="21"/>
                    </w:rPr>
                    <w:t>每年</w:t>
                  </w:r>
                </w:p>
              </w:tc>
              <w:tc>
                <w:tcPr>
                  <w:tcW w:w="2919" w:type="dxa"/>
                </w:tcPr>
                <w:p>
                  <w:pPr>
                    <w:widowControl/>
                    <w:spacing w:before="40"/>
                    <w:jc w:val="left"/>
                    <w:rPr>
                      <w:color w:val="000000"/>
                      <w:szCs w:val="21"/>
                      <w:highlight w:val="cyan"/>
                    </w:rPr>
                  </w:pPr>
                  <w:r>
                    <w:rPr>
                      <w:rFonts w:hint="eastAsia"/>
                      <w:color w:val="000000"/>
                      <w:szCs w:val="21"/>
                    </w:rPr>
                    <w:t>送货及时数/送货总次数*100%</w:t>
                  </w:r>
                </w:p>
              </w:tc>
              <w:tc>
                <w:tcPr>
                  <w:tcW w:w="1905" w:type="dxa"/>
                </w:tcPr>
                <w:p>
                  <w:pPr>
                    <w:widowControl/>
                    <w:spacing w:before="40"/>
                    <w:jc w:val="left"/>
                    <w:rPr>
                      <w:color w:val="000000"/>
                      <w:szCs w:val="21"/>
                    </w:rPr>
                  </w:pPr>
                  <w:r>
                    <w:rPr>
                      <w:rFonts w:hint="eastAsia"/>
                      <w:color w:val="000000"/>
                      <w:szCs w:val="21"/>
                    </w:rPr>
                    <w:t>已完成</w:t>
                  </w:r>
                </w:p>
              </w:tc>
            </w:tr>
          </w:tbl>
          <w:p>
            <w:pPr>
              <w:rPr>
                <w:u w:val="single"/>
              </w:rPr>
            </w:pPr>
            <w:r>
              <w:rPr>
                <w:rFonts w:hint="eastAsia"/>
              </w:rPr>
              <w:sym w:font="Wingdings" w:char="00FE"/>
            </w:r>
            <w:r>
              <w:rPr>
                <w:rFonts w:hint="eastAsia"/>
              </w:rPr>
              <w:t>目标已实现，</w:t>
            </w:r>
            <w:r>
              <w:rPr>
                <w:rFonts w:hint="eastAsia"/>
                <w:u w:val="single"/>
              </w:rPr>
              <w:t>2021年第三季度在实施中</w:t>
            </w:r>
          </w:p>
          <w:p>
            <w:r>
              <w:rPr>
                <w:rFonts w:hint="eastAsia"/>
              </w:rPr>
              <w:sym w:font="Wingdings" w:char="00A8"/>
            </w:r>
            <w:r>
              <w:rPr>
                <w:rFonts w:hint="eastAsia"/>
              </w:rPr>
              <w:t>目标没有实现的，组织在内部及时进行原因分析并采取了改进措施。</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rPr>
                <w:color w:val="000000"/>
                <w:szCs w:val="21"/>
              </w:rPr>
            </w:pPr>
            <w:r>
              <w:rPr>
                <w:rFonts w:hint="eastAsia"/>
                <w:color w:val="000000"/>
                <w:szCs w:val="21"/>
              </w:rPr>
              <w:t>变更的策划</w:t>
            </w:r>
          </w:p>
          <w:p/>
        </w:tc>
        <w:tc>
          <w:tcPr>
            <w:tcW w:w="952" w:type="dxa"/>
            <w:vMerge w:val="restart"/>
            <w:shd w:val="clear" w:color="auto" w:fill="auto"/>
          </w:tcPr>
          <w:p>
            <w:r>
              <w:rPr>
                <w:rFonts w:hint="eastAsia"/>
                <w:color w:val="000000"/>
                <w:szCs w:val="21"/>
              </w:rPr>
              <w:t>F6.3</w:t>
            </w:r>
          </w:p>
        </w:tc>
        <w:tc>
          <w:tcPr>
            <w:tcW w:w="761" w:type="dxa"/>
            <w:shd w:val="clear" w:color="auto" w:fill="auto"/>
          </w:tcPr>
          <w:p>
            <w:r>
              <w:rPr>
                <w:rFonts w:hint="eastAsia"/>
              </w:rPr>
              <w:t>文件名称</w:t>
            </w:r>
          </w:p>
        </w:tc>
        <w:tc>
          <w:tcPr>
            <w:tcW w:w="9370" w:type="dxa"/>
            <w:shd w:val="clear" w:color="auto" w:fill="auto"/>
          </w:tcPr>
          <w:p>
            <w:r>
              <w:rPr>
                <w:rFonts w:hint="eastAsia"/>
              </w:rPr>
              <w:t>如：</w:t>
            </w:r>
            <w:r>
              <w:rPr>
                <w:rFonts w:hint="eastAsia"/>
              </w:rPr>
              <w:sym w:font="Wingdings" w:char="00FE"/>
            </w:r>
            <w:r>
              <w:rPr>
                <w:rFonts w:hint="eastAsia"/>
              </w:rPr>
              <w:t>手册第6.3条款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☑其他（自体系建立以来没有发生变更）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vMerge w:val="restart"/>
          </w:tcPr>
          <w:p>
            <w:r>
              <w:rPr>
                <w:rFonts w:hint="eastAsia"/>
                <w:color w:val="000000"/>
                <w:szCs w:val="21"/>
              </w:rPr>
              <w:t>F7.1.1</w:t>
            </w:r>
          </w:p>
        </w:tc>
        <w:tc>
          <w:tcPr>
            <w:tcW w:w="761" w:type="dxa"/>
          </w:tcPr>
          <w:p>
            <w:r>
              <w:rPr>
                <w:rFonts w:hint="eastAsia"/>
              </w:rPr>
              <w:t>文件名称</w:t>
            </w:r>
          </w:p>
        </w:tc>
        <w:tc>
          <w:tcPr>
            <w:tcW w:w="9370" w:type="dxa"/>
          </w:tcPr>
          <w:p>
            <w:r>
              <w:rPr>
                <w:rFonts w:hint="eastAsia"/>
              </w:rPr>
              <w:t>如：</w:t>
            </w:r>
            <w:r>
              <w:rPr/>
              <w:sym w:font="Wingdings" w:char="00FE"/>
            </w:r>
            <w:r>
              <w:rPr>
                <w:rFonts w:hint="eastAsia"/>
              </w:rPr>
              <w:t>手册第7.1条款、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pPr>
              <w:jc w:val="left"/>
            </w:pPr>
            <w:r>
              <w:rPr>
                <w:rFonts w:hint="eastAsia"/>
              </w:rPr>
              <w:t>销</w:t>
            </w:r>
            <w:r>
              <w:t>售</w:t>
            </w:r>
            <w:r>
              <w:rPr>
                <w:rFonts w:hint="eastAsia"/>
              </w:rPr>
              <w:t>配</w:t>
            </w:r>
            <w:r>
              <w:t>送</w:t>
            </w:r>
            <w:r>
              <w:rPr>
                <w:rFonts w:hint="eastAsia"/>
              </w:rPr>
              <w:t>：建筑面积约</w:t>
            </w:r>
            <w:r>
              <w:rPr>
                <w:rFonts w:hint="eastAsia"/>
                <w:u w:val="single"/>
              </w:rPr>
              <w:t xml:space="preserve"> </w:t>
            </w:r>
            <w:r>
              <w:rPr>
                <w:u w:val="single"/>
              </w:rPr>
              <w:t>1000</w:t>
            </w:r>
            <w:r>
              <w:rPr>
                <w:rFonts w:hint="eastAsia"/>
                <w:u w:val="single"/>
              </w:rPr>
              <w:t xml:space="preserve"> </w:t>
            </w:r>
            <w:r>
              <w:rPr>
                <w:rFonts w:hint="eastAsia"/>
              </w:rPr>
              <w:t>平方米；加工间</w:t>
            </w:r>
            <w:r>
              <w:rPr>
                <w:rFonts w:hint="eastAsia"/>
                <w:u w:val="single"/>
              </w:rPr>
              <w:t xml:space="preserve"> 0 </w:t>
            </w:r>
            <w:r>
              <w:rPr>
                <w:rFonts w:hint="eastAsia"/>
              </w:rPr>
              <w:t>个；冷藏库</w:t>
            </w:r>
            <w:r>
              <w:rPr>
                <w:rFonts w:hint="eastAsia"/>
                <w:u w:val="single"/>
              </w:rPr>
              <w:t xml:space="preserve"> </w:t>
            </w:r>
            <w:r>
              <w:rPr>
                <w:u w:val="single"/>
              </w:rPr>
              <w:t>1</w:t>
            </w:r>
            <w:r>
              <w:rPr>
                <w:rFonts w:hint="eastAsia"/>
                <w:u w:val="single"/>
              </w:rPr>
              <w:t xml:space="preserve"> </w:t>
            </w:r>
            <w:r>
              <w:rPr>
                <w:rFonts w:hint="eastAsia"/>
              </w:rPr>
              <w:t>个；外租库</w:t>
            </w:r>
            <w:r>
              <w:rPr>
                <w:rFonts w:hint="eastAsia"/>
                <w:u w:val="single"/>
              </w:rPr>
              <w:t xml:space="preserve"> １  </w:t>
            </w:r>
            <w:r>
              <w:rPr>
                <w:rFonts w:hint="eastAsia"/>
              </w:rPr>
              <w:t>个；实验室</w:t>
            </w:r>
            <w:r>
              <w:rPr>
                <w:rFonts w:hint="eastAsia"/>
                <w:u w:val="single"/>
              </w:rPr>
              <w:t xml:space="preserve">0 </w:t>
            </w:r>
            <w:r>
              <w:rPr>
                <w:rFonts w:hint="eastAsia"/>
              </w:rPr>
              <w:t>个；运货车辆</w:t>
            </w:r>
            <w:r>
              <w:rPr>
                <w:rFonts w:hint="eastAsia"/>
                <w:u w:val="single"/>
              </w:rPr>
              <w:t xml:space="preserve">  0  </w:t>
            </w:r>
            <w:r>
              <w:rPr>
                <w:rFonts w:hint="eastAsia"/>
              </w:rPr>
              <w:t>辆（外</w:t>
            </w:r>
            <w:r>
              <w:t>包</w:t>
            </w:r>
            <w:r>
              <w:rPr>
                <w:rFonts w:hint="eastAsia"/>
              </w:rPr>
              <w:t>）</w:t>
            </w:r>
          </w:p>
          <w:p>
            <w:r>
              <w:rPr>
                <w:rFonts w:hint="eastAsia"/>
              </w:rPr>
              <w:t>餐</w:t>
            </w:r>
            <w:r>
              <w:t>饮</w:t>
            </w:r>
            <w:r>
              <w:rPr>
                <w:rFonts w:hint="eastAsia"/>
              </w:rPr>
              <w:t>食</w:t>
            </w:r>
            <w:r>
              <w:t>堂：</w:t>
            </w:r>
            <w:r>
              <w:rPr>
                <w:rFonts w:hint="eastAsia"/>
              </w:rPr>
              <w:t>建筑面积</w:t>
            </w:r>
            <w:r>
              <w:rPr>
                <w:rFonts w:hint="eastAsia"/>
                <w:u w:val="single"/>
              </w:rPr>
              <w:t xml:space="preserve"> 约3000 </w:t>
            </w:r>
            <w:r>
              <w:rPr>
                <w:rFonts w:hint="eastAsia"/>
              </w:rPr>
              <w:t>平方米；加工间</w:t>
            </w:r>
            <w:r>
              <w:rPr>
                <w:rFonts w:hint="eastAsia"/>
                <w:u w:val="single"/>
              </w:rPr>
              <w:t xml:space="preserve"> 2  </w:t>
            </w:r>
            <w:r>
              <w:rPr>
                <w:rFonts w:hint="eastAsia"/>
              </w:rPr>
              <w:t>个（红案、白案）；库房</w:t>
            </w:r>
            <w:r>
              <w:rPr>
                <w:rFonts w:hint="eastAsia"/>
                <w:u w:val="single"/>
              </w:rPr>
              <w:t xml:space="preserve"> 3  </w:t>
            </w:r>
            <w:r>
              <w:rPr>
                <w:rFonts w:hint="eastAsia"/>
              </w:rPr>
              <w:t>个（原料）；实验室</w:t>
            </w:r>
            <w:r>
              <w:rPr>
                <w:rFonts w:hint="eastAsia"/>
                <w:u w:val="single"/>
              </w:rPr>
              <w:t xml:space="preserve"> 0  </w:t>
            </w:r>
            <w:r>
              <w:rPr>
                <w:rFonts w:hint="eastAsia"/>
              </w:rPr>
              <w:t>个；</w:t>
            </w:r>
          </w:p>
          <w:p>
            <w:pPr>
              <w:jc w:val="left"/>
              <w:rPr>
                <w:u w:val="single"/>
              </w:rPr>
            </w:pPr>
            <w:r>
              <w:rPr>
                <w:rFonts w:hint="eastAsia"/>
              </w:rPr>
              <w:t>主要生产设备有：</w:t>
            </w:r>
            <w:r>
              <w:rPr>
                <w:rFonts w:hint="eastAsia" w:ascii="宋体" w:hAnsi="宋体"/>
                <w:u w:val="single"/>
              </w:rPr>
              <w:t>储藏库、</w:t>
            </w:r>
            <w:r>
              <w:rPr>
                <w:rFonts w:hint="eastAsia"/>
                <w:u w:val="single"/>
              </w:rPr>
              <w:t>车辆       （列举2~4种）</w:t>
            </w:r>
          </w:p>
          <w:p>
            <w:pPr>
              <w:jc w:val="left"/>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jc w:val="left"/>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rPr>
              <w:t xml:space="preserve">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color w:val="000000"/>
                      <w:szCs w:val="21"/>
                    </w:rPr>
                  </w:pPr>
                  <w:r>
                    <w:rPr>
                      <w:rFonts w:hint="eastAsia"/>
                      <w:color w:val="000000"/>
                      <w:szCs w:val="21"/>
                    </w:rPr>
                    <w:t>5</w:t>
                  </w:r>
                </w:p>
              </w:tc>
              <w:tc>
                <w:tcPr>
                  <w:tcW w:w="1292" w:type="dxa"/>
                </w:tcPr>
                <w:p>
                  <w:pPr>
                    <w:jc w:val="center"/>
                    <w:rPr>
                      <w:color w:val="000000"/>
                      <w:szCs w:val="21"/>
                    </w:rPr>
                  </w:pPr>
                </w:p>
              </w:tc>
              <w:tc>
                <w:tcPr>
                  <w:tcW w:w="1292" w:type="dxa"/>
                </w:tcPr>
                <w:p>
                  <w:pPr>
                    <w:jc w:val="center"/>
                    <w:rPr>
                      <w:color w:val="000000"/>
                      <w:szCs w:val="21"/>
                    </w:rPr>
                  </w:pPr>
                  <w:r>
                    <w:rPr>
                      <w:rFonts w:hint="eastAsia"/>
                      <w:color w:val="000000"/>
                      <w:szCs w:val="21"/>
                    </w:rPr>
                    <w:t>20</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25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t>食品安全管理体系外部建立的要素</w:t>
            </w:r>
          </w:p>
        </w:tc>
        <w:tc>
          <w:tcPr>
            <w:tcW w:w="952" w:type="dxa"/>
            <w:vMerge w:val="restart"/>
            <w:shd w:val="clear" w:color="auto" w:fill="auto"/>
          </w:tcPr>
          <w:p>
            <w:r>
              <w:rPr>
                <w:rFonts w:hint="eastAsia"/>
                <w:color w:val="000000"/>
                <w:szCs w:val="21"/>
              </w:rPr>
              <w:t>F7.1.5</w:t>
            </w:r>
          </w:p>
        </w:tc>
        <w:tc>
          <w:tcPr>
            <w:tcW w:w="761" w:type="dxa"/>
            <w:shd w:val="clear" w:color="auto" w:fill="auto"/>
          </w:tcPr>
          <w:p>
            <w:r>
              <w:rPr>
                <w:rFonts w:hint="eastAsia"/>
              </w:rPr>
              <w:t>文件名称</w:t>
            </w:r>
          </w:p>
        </w:tc>
        <w:tc>
          <w:tcPr>
            <w:tcW w:w="9370"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85"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44" w:type="dxa"/>
            <w:vMerge w:val="restart"/>
            <w:shd w:val="clear" w:color="auto" w:fill="auto"/>
          </w:tcPr>
          <w:p>
            <w:r>
              <w:rPr>
                <w:rFonts w:hint="eastAsia"/>
              </w:rPr>
              <w:t>沟通</w:t>
            </w:r>
          </w:p>
        </w:tc>
        <w:tc>
          <w:tcPr>
            <w:tcW w:w="952" w:type="dxa"/>
            <w:vMerge w:val="restart"/>
            <w:shd w:val="clear" w:color="auto" w:fill="auto"/>
          </w:tcPr>
          <w:p>
            <w:r>
              <w:rPr>
                <w:rFonts w:hint="eastAsia"/>
              </w:rPr>
              <w:t>F7.4</w:t>
            </w:r>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《信息交流控制程序》</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消防</w:t>
            </w:r>
            <w:r>
              <w:rPr>
                <w:color w:val="000000"/>
                <w:szCs w:val="21"/>
              </w:rPr>
              <w:t>大队</w:t>
            </w:r>
            <w:r>
              <w:rPr>
                <w:rFonts w:hint="eastAsia"/>
                <w:color w:val="000000"/>
                <w:szCs w:val="21"/>
              </w:rPr>
              <w:t xml:space="preserve"> ☑顾客 ☑供方   </w:t>
            </w:r>
            <w:r>
              <w:rPr>
                <w:rFonts w:hint="eastAsia"/>
              </w:rPr>
              <w:sym w:font="Wingdings" w:char="00A8"/>
            </w:r>
            <w:r>
              <w:rPr>
                <w:rFonts w:hint="eastAsia"/>
                <w:color w:val="000000"/>
                <w:szCs w:val="21"/>
              </w:rPr>
              <w:t xml:space="preserve">外包方  </w:t>
            </w:r>
            <w:r>
              <w:rPr>
                <w:rFonts w:hint="eastAsia"/>
              </w:rPr>
              <w:sym w:font="Wingdings" w:char="00A8"/>
            </w:r>
            <w:r>
              <w:rPr>
                <w:rFonts w:hint="eastAsia"/>
                <w:color w:val="000000"/>
                <w:szCs w:val="21"/>
              </w:rPr>
              <w:t xml:space="preserve">网站 </w:t>
            </w:r>
          </w:p>
          <w:p/>
          <w:p>
            <w:r>
              <w:rPr>
                <w:rFonts w:hint="eastAsia"/>
              </w:rPr>
              <w:t>内部沟通的控制方式：</w:t>
            </w:r>
            <w:r>
              <w:rPr>
                <w:rFonts w:hint="eastAsia"/>
                <w:color w:val="000000"/>
                <w:szCs w:val="21"/>
              </w:rPr>
              <w:t>☑会议 □表单传递 ☑微信 □QQ □展板 □标语</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restart"/>
          </w:tcPr>
          <w:p>
            <w:r>
              <w:rPr>
                <w:rFonts w:hint="eastAsia"/>
              </w:rPr>
              <w:t>监视、测量、分析和评价</w:t>
            </w:r>
          </w:p>
          <w:p/>
        </w:tc>
        <w:tc>
          <w:tcPr>
            <w:tcW w:w="952" w:type="dxa"/>
            <w:vMerge w:val="restart"/>
          </w:tcPr>
          <w:p>
            <w:r>
              <w:rPr>
                <w:rFonts w:hint="eastAsia"/>
              </w:rPr>
              <w:t>F9.1.1</w:t>
            </w:r>
          </w:p>
        </w:tc>
        <w:tc>
          <w:tcPr>
            <w:tcW w:w="761" w:type="dxa"/>
          </w:tcPr>
          <w:p>
            <w:r>
              <w:rPr>
                <w:rFonts w:hint="eastAsia"/>
              </w:rPr>
              <w:t>文件名称</w:t>
            </w:r>
          </w:p>
        </w:tc>
        <w:tc>
          <w:tcPr>
            <w:tcW w:w="9370" w:type="dxa"/>
          </w:tcPr>
          <w:p>
            <w:r>
              <w:rPr>
                <w:rFonts w:hint="eastAsia"/>
              </w:rPr>
              <w:t>如：</w:t>
            </w:r>
            <w:r>
              <w:rPr>
                <w:rFonts w:hint="eastAsia"/>
              </w:rPr>
              <w:sym w:font="Wingdings" w:char="00FE"/>
            </w:r>
            <w:r>
              <w:rPr>
                <w:rFonts w:hint="eastAsia"/>
              </w:rPr>
              <w:t>管理手册9.1.1条款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8"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组织对监视和测量的环境绩效：</w:t>
            </w:r>
          </w:p>
          <w:p>
            <w:pPr>
              <w:pStyle w:val="2"/>
              <w:ind w:left="-594" w:firstLine="480"/>
              <w:rPr>
                <w:sz w:val="24"/>
                <w:szCs w:val="24"/>
              </w:rPr>
            </w:pPr>
            <w:r>
              <w:rPr>
                <w:rFonts w:hint="eastAsia"/>
                <w:sz w:val="24"/>
                <w:szCs w:val="24"/>
              </w:rPr>
              <w:t>销</w:t>
            </w:r>
            <w:r>
              <w:rPr>
                <w:sz w:val="24"/>
                <w:szCs w:val="24"/>
              </w:rPr>
              <w:t>售</w:t>
            </w:r>
            <w:r>
              <w:rPr>
                <w:rFonts w:hint="eastAsia"/>
                <w:sz w:val="24"/>
                <w:szCs w:val="24"/>
              </w:rPr>
              <w:t>配</w:t>
            </w:r>
            <w:r>
              <w:rPr>
                <w:sz w:val="24"/>
                <w:szCs w:val="24"/>
              </w:rPr>
              <w:t>送：</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按照程序文件/SSOP、危害控制计划执行</w:t>
                  </w:r>
                </w:p>
              </w:tc>
              <w:tc>
                <w:tcPr>
                  <w:tcW w:w="2034" w:type="dxa"/>
                </w:tcPr>
                <w:p>
                  <w:pPr>
                    <w:widowControl/>
                    <w:spacing w:before="40"/>
                    <w:jc w:val="left"/>
                    <w:rPr>
                      <w:color w:val="000000"/>
                      <w:szCs w:val="21"/>
                    </w:rPr>
                  </w:pPr>
                  <w:r>
                    <w:rPr>
                      <w:rFonts w:hint="eastAsia"/>
                      <w:color w:val="000000"/>
                      <w:szCs w:val="21"/>
                    </w:rPr>
                    <w:sym w:font="Wingdings 2" w:char="0052"/>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ISO22000:2018《</w:t>
                  </w:r>
                  <w:r>
                    <w:rPr>
                      <w:rFonts w:hint="eastAsia"/>
                      <w:szCs w:val="21"/>
                    </w:rPr>
                    <w:t>内部审核控制程序</w:t>
                  </w:r>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管理评审，对FSMS存在的需要问题进行分析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ISO22000:2018《管理评审控制程序》</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ISO22000:2018</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tc>
              <w:tc>
                <w:tcPr>
                  <w:tcW w:w="2149" w:type="dxa"/>
                </w:tcPr>
                <w:p/>
              </w:tc>
              <w:tc>
                <w:tcPr>
                  <w:tcW w:w="1986" w:type="dxa"/>
                </w:tcPr>
                <w:p>
                  <w:pPr>
                    <w:rPr>
                      <w:color w:val="000000"/>
                      <w:szCs w:val="21"/>
                    </w:rPr>
                  </w:pPr>
                </w:p>
              </w:tc>
              <w:tc>
                <w:tcPr>
                  <w:tcW w:w="1887" w:type="dxa"/>
                </w:tcPr>
                <w:p/>
              </w:tc>
              <w:tc>
                <w:tcPr>
                  <w:tcW w:w="2034" w:type="dxa"/>
                </w:tcPr>
                <w:p>
                  <w:pPr>
                    <w:widowControl/>
                    <w:spacing w:before="40"/>
                    <w:jc w:val="left"/>
                    <w:rPr>
                      <w:color w:val="000000"/>
                      <w:szCs w:val="21"/>
                    </w:rPr>
                  </w:pPr>
                </w:p>
              </w:tc>
            </w:tr>
          </w:tbl>
          <w:p/>
          <w:p>
            <w:r>
              <w:rPr>
                <w:rFonts w:hint="eastAsia"/>
              </w:rPr>
              <w:t>餐</w:t>
            </w:r>
            <w:r>
              <w:t>饮食堂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水质监测</w:t>
                  </w:r>
                </w:p>
              </w:tc>
              <w:tc>
                <w:tcPr>
                  <w:tcW w:w="2149" w:type="dxa"/>
                </w:tcPr>
                <w:p>
                  <w:r>
                    <w:rPr>
                      <w:rFonts w:hint="eastAsia"/>
                    </w:rPr>
                    <w:t>委托第三方检测</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r>
                    <w:rPr>
                      <w:rFonts w:hint="eastAsia"/>
                    </w:rPr>
                    <w:t>GB 5749-2006</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餐具</w:t>
                  </w:r>
                </w:p>
                <w:p>
                  <w:pPr>
                    <w:rPr>
                      <w:highlight w:val="yellow"/>
                    </w:rPr>
                  </w:pPr>
                </w:p>
              </w:tc>
              <w:tc>
                <w:tcPr>
                  <w:tcW w:w="2149" w:type="dxa"/>
                </w:tcPr>
                <w:p>
                  <w:r>
                    <w:rPr>
                      <w:rFonts w:hint="eastAsia"/>
                    </w:rPr>
                    <w:t>委托第三方检测</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r>
                    <w:rPr>
                      <w:rFonts w:hint="eastAsia"/>
                    </w:rPr>
                    <w:t>GB14934-2016</w:t>
                  </w:r>
                </w:p>
                <w:p>
                  <w:r>
                    <w:rPr>
                      <w:rFonts w:hint="eastAsia"/>
                    </w:rPr>
                    <w:t>GB/T 5750.4</w:t>
                  </w:r>
                  <w:r>
                    <w:t>-2006</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菜品</w:t>
                  </w:r>
                </w:p>
              </w:tc>
              <w:tc>
                <w:tcPr>
                  <w:tcW w:w="2149" w:type="dxa"/>
                </w:tcPr>
                <w:p>
                  <w:r>
                    <w:rPr>
                      <w:rFonts w:hint="eastAsia"/>
                    </w:rPr>
                    <w:t>委托第三方检测</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r>
                    <w:t>GB 4789.2-2016</w:t>
                  </w:r>
                </w:p>
                <w:p>
                  <w:r>
                    <w:t>GB 4789.4-2016</w:t>
                  </w:r>
                </w:p>
                <w:p>
                  <w:r>
                    <w:t>GB 4789.10-2016</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操作规程</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pPr>
                    <w:rPr>
                      <w:rFonts w:hint="eastAsia" w:eastAsia="宋体"/>
                      <w:lang w:val="en-US" w:eastAsia="zh-CN"/>
                    </w:rPr>
                  </w:pPr>
                  <w:r>
                    <w:rPr>
                      <w:rFonts w:hint="eastAsia"/>
                    </w:rPr>
                    <w:t>ISO22000:2018</w:t>
                  </w:r>
                  <w:r>
                    <w:rPr>
                      <w:rFonts w:hint="eastAsia"/>
                      <w:lang w:val="en-US" w:eastAsia="zh-CN"/>
                    </w:rPr>
                    <w:t>标准</w:t>
                  </w:r>
                </w:p>
                <w:p>
                  <w:r>
                    <w:rPr>
                      <w:rFonts w:hint="eastAsia"/>
                    </w:rPr>
                    <w:t>《内审控制控制程序》</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体系有效性</w:t>
                  </w:r>
                </w:p>
              </w:tc>
              <w:tc>
                <w:tcPr>
                  <w:tcW w:w="2149" w:type="dxa"/>
                </w:tcPr>
                <w:p>
                  <w:r>
                    <w:rPr>
                      <w:rFonts w:hint="eastAsia"/>
                    </w:rPr>
                    <w:t>管理评审，对食品</w:t>
                  </w:r>
                  <w:r>
                    <w:t>安全管理体系</w:t>
                  </w:r>
                  <w:r>
                    <w:rPr>
                      <w:rFonts w:hint="eastAsia"/>
                    </w:rPr>
                    <w:t>存在的需要问题进行分析</w:t>
                  </w:r>
                </w:p>
              </w:tc>
              <w:tc>
                <w:tcPr>
                  <w:tcW w:w="1986" w:type="dxa"/>
                </w:tcPr>
                <w:p>
                  <w:r>
                    <w:rPr>
                      <w:rFonts w:ascii="Segoe UI Symbol" w:hAnsi="Segoe UI Symbol" w:cs="Segoe UI Symbol"/>
                      <w:color w:val="000000"/>
                      <w:szCs w:val="21"/>
                    </w:rPr>
                    <w:t>☑</w:t>
                  </w:r>
                  <w:r>
                    <w:rPr>
                      <w:rFonts w:hint="eastAsia"/>
                    </w:rPr>
                    <w:t>每年一次</w:t>
                  </w:r>
                </w:p>
                <w:p>
                  <w:r>
                    <w:rPr>
                      <w:rFonts w:hint="eastAsia"/>
                      <w:color w:val="000000"/>
                      <w:szCs w:val="21"/>
                    </w:rPr>
                    <w:t>☑特殊情况增加</w:t>
                  </w:r>
                </w:p>
              </w:tc>
              <w:tc>
                <w:tcPr>
                  <w:tcW w:w="1887" w:type="dxa"/>
                </w:tcPr>
                <w:p>
                  <w:pPr>
                    <w:rPr>
                      <w:rFonts w:hint="eastAsia"/>
                      <w:lang w:val="en-US" w:eastAsia="zh-CN"/>
                    </w:rPr>
                  </w:pPr>
                  <w:r>
                    <w:rPr>
                      <w:rFonts w:hint="eastAsia"/>
                    </w:rPr>
                    <w:t>ISO22000:2018</w:t>
                  </w:r>
                  <w:r>
                    <w:rPr>
                      <w:rFonts w:hint="eastAsia"/>
                      <w:lang w:val="en-US" w:eastAsia="zh-CN"/>
                    </w:rPr>
                    <w:t>标准</w:t>
                  </w:r>
                </w:p>
                <w:p>
                  <w:pPr>
                    <w:pStyle w:val="2"/>
                  </w:pPr>
                  <w:bookmarkStart w:id="8" w:name="_GoBack"/>
                  <w:r>
                    <w:rPr>
                      <w:rFonts w:hint="eastAsia" w:ascii="Times New Roman" w:hAnsi="Times New Roman" w:eastAsia="宋体" w:cs="Times New Roman"/>
                      <w:kern w:val="2"/>
                      <w:sz w:val="21"/>
                      <w:lang w:val="en-US" w:eastAsia="zh-CN" w:bidi="ar-SA"/>
                    </w:rPr>
                    <w:t>《管理评审控制程序》</w:t>
                  </w:r>
                  <w:bookmarkEnd w:id="8"/>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顾客满意度调查表</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☑随时</w:t>
                  </w:r>
                </w:p>
              </w:tc>
            </w:tr>
          </w:tbl>
          <w:p>
            <w:pPr>
              <w:pStyle w:val="2"/>
              <w:ind w:left="-594" w:firstLine="560"/>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44" w:type="dxa"/>
            <w:vMerge w:val="restart"/>
          </w:tcPr>
          <w:p>
            <w:r>
              <w:rPr>
                <w:rFonts w:hint="eastAsia"/>
              </w:rPr>
              <w:t>内部审核</w:t>
            </w:r>
          </w:p>
        </w:tc>
        <w:tc>
          <w:tcPr>
            <w:tcW w:w="952" w:type="dxa"/>
            <w:vMerge w:val="restart"/>
          </w:tcPr>
          <w:p>
            <w:r>
              <w:rPr>
                <w:rFonts w:hint="eastAsia"/>
              </w:rPr>
              <w:t>F9.2</w:t>
            </w:r>
          </w:p>
          <w:p/>
        </w:tc>
        <w:tc>
          <w:tcPr>
            <w:tcW w:w="761" w:type="dxa"/>
          </w:tcPr>
          <w:p>
            <w:r>
              <w:rPr>
                <w:rFonts w:hint="eastAsia"/>
              </w:rPr>
              <w:t>文件名称</w:t>
            </w:r>
          </w:p>
        </w:tc>
        <w:tc>
          <w:tcPr>
            <w:tcW w:w="9370" w:type="dxa"/>
          </w:tcPr>
          <w:p>
            <w:r>
              <w:rPr/>
              <w:sym w:font="Wingdings" w:char="00FE"/>
            </w:r>
            <w:r>
              <w:rPr>
                <w:rFonts w:hint="eastAsia"/>
              </w:rPr>
              <w:t>《内审控制控制程序》</w:t>
            </w:r>
          </w:p>
        </w:tc>
        <w:tc>
          <w:tcPr>
            <w:tcW w:w="1587" w:type="dxa"/>
            <w:vMerge w:val="restart"/>
          </w:tcPr>
          <w:p>
            <w:r>
              <w:rPr/>
              <w:sym w:font="Wingdings" w:char="00FE"/>
            </w:r>
            <w:r>
              <w:rPr>
                <w:rFonts w:hint="eastAsia"/>
              </w:rPr>
              <w:t>符合</w:t>
            </w:r>
          </w:p>
          <w:p>
            <w:r>
              <w:rPr/>
              <w:sym w:font="Wingdings" w:char="00A8"/>
            </w:r>
            <w:r>
              <w:rPr>
                <w:rFonts w:hint="eastAsia"/>
              </w:rPr>
              <w:t>不符合</w:t>
            </w: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rPr>
                <w:color w:val="FF0000"/>
              </w:rPr>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21</w:t>
            </w:r>
            <w:r>
              <w:rPr>
                <w:color w:val="000000"/>
                <w:szCs w:val="18"/>
                <w:u w:val="single"/>
              </w:rPr>
              <w:t xml:space="preserve"> </w:t>
            </w:r>
            <w:r>
              <w:rPr>
                <w:rFonts w:hint="eastAsia"/>
                <w:color w:val="000000"/>
                <w:szCs w:val="18"/>
              </w:rPr>
              <w:t>年</w:t>
            </w:r>
            <w:r>
              <w:rPr>
                <w:color w:val="000000"/>
                <w:szCs w:val="18"/>
                <w:u w:val="single"/>
              </w:rPr>
              <w:t xml:space="preserve">7 </w:t>
            </w:r>
            <w:r>
              <w:rPr>
                <w:rFonts w:hint="eastAsia"/>
                <w:color w:val="000000"/>
                <w:szCs w:val="18"/>
              </w:rPr>
              <w:t>月</w:t>
            </w:r>
            <w:r>
              <w:rPr>
                <w:rFonts w:hint="eastAsia"/>
                <w:color w:val="000000"/>
                <w:szCs w:val="18"/>
                <w:u w:val="single"/>
              </w:rPr>
              <w:t>08</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综合部、食品安全小组、运</w:t>
            </w:r>
            <w:r>
              <w:rPr>
                <w:color w:val="000000"/>
                <w:szCs w:val="18"/>
                <w:u w:val="single"/>
              </w:rPr>
              <w:t>营</w:t>
            </w:r>
            <w:r>
              <w:rPr>
                <w:rFonts w:hint="eastAsia"/>
                <w:color w:val="000000"/>
                <w:szCs w:val="18"/>
                <w:u w:val="single"/>
              </w:rPr>
              <w:t xml:space="preserve">部         </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szCs w:val="21"/>
                <w:u w:val="single"/>
              </w:rPr>
            </w:pPr>
            <w:r>
              <w:rPr>
                <w:rFonts w:hint="eastAsia"/>
                <w:szCs w:val="21"/>
              </w:rPr>
              <w:sym w:font="Wingdings 2" w:char="0052"/>
            </w:r>
            <w:r>
              <w:rPr>
                <w:rFonts w:hint="eastAsia"/>
                <w:szCs w:val="21"/>
                <w:u w:val="single"/>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spacing w:line="240" w:lineRule="atLeast"/>
              <w:ind w:firstLine="705"/>
              <w:rPr>
                <w:color w:val="FF0000"/>
                <w:szCs w:val="21"/>
                <w:u w:val="single"/>
              </w:rPr>
            </w:pPr>
            <w:r>
              <w:rPr>
                <w:rFonts w:hint="eastAsia"/>
                <w:color w:val="000000"/>
                <w:szCs w:val="21"/>
              </w:rPr>
              <w:t>涉及的条款号或问题简述：</w:t>
            </w:r>
            <w:r>
              <w:rPr>
                <w:rFonts w:hint="eastAsia" w:ascii="宋体" w:hAnsi="宋体"/>
                <w:color w:val="000000"/>
                <w:szCs w:val="21"/>
                <w:u w:val="single"/>
              </w:rPr>
              <w:t>在综合部审核时发现</w:t>
            </w:r>
            <w:r>
              <w:rPr>
                <w:rFonts w:ascii="宋体" w:hAnsi="宋体"/>
                <w:color w:val="000000"/>
                <w:szCs w:val="21"/>
                <w:u w:val="single"/>
              </w:rPr>
              <w:t xml:space="preserve">, </w:t>
            </w:r>
            <w:r>
              <w:rPr>
                <w:rFonts w:hint="eastAsia" w:ascii="宋体" w:hAnsi="宋体"/>
                <w:color w:val="000000"/>
                <w:szCs w:val="21"/>
                <w:u w:val="single"/>
              </w:rPr>
              <w:t>“餐饮服务食品安全监督管理办法”法规</w:t>
            </w:r>
            <w:r>
              <w:rPr>
                <w:rFonts w:hint="eastAsia" w:ascii="宋体" w:hAnsi="宋体"/>
                <w:szCs w:val="21"/>
                <w:u w:val="single"/>
              </w:rPr>
              <w:t>文件未纳入食品安全法律法规中进行管理</w:t>
            </w:r>
            <w:r>
              <w:rPr>
                <w:rFonts w:hint="eastAsia" w:ascii="宋体" w:hAnsi="宋体"/>
                <w:color w:val="000000"/>
                <w:szCs w:val="21"/>
                <w:u w:val="single"/>
              </w:rPr>
              <w:t>。不</w:t>
            </w:r>
            <w:r>
              <w:rPr>
                <w:rFonts w:ascii="宋体" w:hAnsi="宋体"/>
                <w:color w:val="000000"/>
                <w:szCs w:val="21"/>
                <w:u w:val="single"/>
              </w:rPr>
              <w:t>符合：</w:t>
            </w:r>
            <w:r>
              <w:rPr>
                <w:rFonts w:hint="eastAsia" w:ascii="宋体" w:hAnsi="宋体"/>
                <w:szCs w:val="21"/>
                <w:u w:val="single"/>
              </w:rPr>
              <w:t>ISO 22000:20</w:t>
            </w:r>
            <w:r>
              <w:rPr>
                <w:rFonts w:ascii="宋体" w:hAnsi="宋体"/>
                <w:szCs w:val="21"/>
                <w:u w:val="single"/>
              </w:rPr>
              <w:t xml:space="preserve">18  </w:t>
            </w:r>
            <w:r>
              <w:rPr>
                <w:rFonts w:hint="eastAsia" w:ascii="宋体" w:hAnsi="宋体"/>
                <w:szCs w:val="21"/>
                <w:u w:val="single"/>
              </w:rPr>
              <w:t>条款号：（7.5.3）</w:t>
            </w:r>
          </w:p>
          <w:p>
            <w:pPr>
              <w:widowControl/>
              <w:spacing w:before="40"/>
              <w:ind w:firstLine="420" w:firstLineChars="200"/>
              <w:jc w:val="left"/>
            </w:pP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pct10" w:color="auto" w:fill="FFFFFF"/>
              </w:rPr>
            </w:pPr>
            <w:r>
              <w:rPr>
                <w:rFonts w:hint="eastAsia"/>
                <w:shd w:val="pct10" w:color="auto" w:fill="FFFFFF"/>
              </w:rPr>
              <w:t>本次现场审核时，上述不符合项的纠正措施的有效性</w:t>
            </w:r>
          </w:p>
          <w:p>
            <w:pPr>
              <w:widowControl/>
              <w:spacing w:before="40"/>
              <w:jc w:val="left"/>
            </w:pPr>
            <w:r>
              <w:rPr>
                <w:rFonts w:hint="eastAsia"/>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vMerge w:val="restart"/>
          </w:tcPr>
          <w:p>
            <w:r>
              <w:rPr>
                <w:rFonts w:hint="eastAsia"/>
              </w:rPr>
              <w:t>管理评审</w:t>
            </w:r>
          </w:p>
          <w:p/>
        </w:tc>
        <w:tc>
          <w:tcPr>
            <w:tcW w:w="952" w:type="dxa"/>
            <w:vMerge w:val="restart"/>
          </w:tcPr>
          <w:p>
            <w:r>
              <w:rPr>
                <w:rFonts w:hint="eastAsia"/>
              </w:rPr>
              <w:t>F9.3</w:t>
            </w:r>
          </w:p>
        </w:tc>
        <w:tc>
          <w:tcPr>
            <w:tcW w:w="761" w:type="dxa"/>
          </w:tcPr>
          <w:p>
            <w:r>
              <w:rPr>
                <w:rFonts w:hint="eastAsia"/>
              </w:rPr>
              <w:t>文件名称</w:t>
            </w:r>
          </w:p>
        </w:tc>
        <w:tc>
          <w:tcPr>
            <w:tcW w:w="9370" w:type="dxa"/>
          </w:tcPr>
          <w:p>
            <w:r>
              <w:rPr>
                <w:rFonts w:hint="eastAsia"/>
              </w:rPr>
              <w:t>如：☑手册9.3条款   ☑《</w:t>
            </w:r>
            <w:r>
              <w:rPr>
                <w:rFonts w:hint="eastAsia"/>
                <w:szCs w:val="22"/>
              </w:rPr>
              <w:t>管理评审控制程序</w:t>
            </w:r>
            <w:r>
              <w:rPr>
                <w:rFonts w:hint="eastAsia"/>
              </w:rPr>
              <w:t>》</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8 </w:t>
            </w:r>
            <w:r>
              <w:rPr>
                <w:rFonts w:hint="eastAsia"/>
                <w:color w:val="000000"/>
                <w:szCs w:val="18"/>
              </w:rPr>
              <w:t>月</w:t>
            </w:r>
            <w:r>
              <w:rPr>
                <w:rFonts w:hint="eastAsia"/>
                <w:color w:val="000000"/>
                <w:szCs w:val="18"/>
                <w:u w:val="single"/>
              </w:rPr>
              <w:t xml:space="preserve"> 1</w:t>
            </w:r>
            <w:r>
              <w:rPr>
                <w:color w:val="000000"/>
                <w:szCs w:val="18"/>
                <w:u w:val="single"/>
              </w:rPr>
              <w:t>8</w:t>
            </w:r>
            <w:r>
              <w:rPr>
                <w:rFonts w:hint="eastAsia"/>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体系刚建立，未发生以往管理评审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r>
              <w:rPr>
                <w:rFonts w:hint="eastAsia"/>
                <w:color w:val="000000"/>
                <w:szCs w:val="21"/>
              </w:rPr>
              <w:t xml:space="preserve">   </w:t>
            </w: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eastAsia="仿宋"/>
                      <w:color w:val="000000"/>
                      <w:szCs w:val="21"/>
                    </w:rPr>
                  </w:pPr>
                  <w:r>
                    <w:rPr>
                      <w:rFonts w:hint="eastAsia"/>
                      <w:szCs w:val="22"/>
                    </w:rPr>
                    <w:t>进一步组织员工学习ISO 22000:2018及公司食品安全管理体系。</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已落实（已完成培训，提供记录）</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4" w:type="dxa"/>
            <w:vMerge w:val="restart"/>
          </w:tcPr>
          <w:p>
            <w:r>
              <w:rPr>
                <w:rFonts w:hint="eastAsia"/>
              </w:rPr>
              <w:t>不符合与纠正措施</w:t>
            </w:r>
          </w:p>
        </w:tc>
        <w:tc>
          <w:tcPr>
            <w:tcW w:w="952" w:type="dxa"/>
            <w:vMerge w:val="restart"/>
          </w:tcPr>
          <w:p>
            <w:r>
              <w:rPr>
                <w:rFonts w:hint="eastAsia"/>
              </w:rPr>
              <w:t>F10.1</w:t>
            </w:r>
          </w:p>
        </w:tc>
        <w:tc>
          <w:tcPr>
            <w:tcW w:w="761" w:type="dxa"/>
          </w:tcPr>
          <w:p>
            <w:r>
              <w:rPr>
                <w:rFonts w:hint="eastAsia"/>
              </w:rPr>
              <w:t>文件名称</w:t>
            </w:r>
          </w:p>
        </w:tc>
        <w:tc>
          <w:tcPr>
            <w:tcW w:w="9370" w:type="dxa"/>
          </w:tcPr>
          <w:p>
            <w:r>
              <w:rPr>
                <w:rFonts w:hint="eastAsia"/>
              </w:rPr>
              <w:t xml:space="preserve"> 如：</w:t>
            </w:r>
            <w:r>
              <w:rPr/>
              <w:sym w:font="Wingdings" w:char="00FE"/>
            </w:r>
            <w:r>
              <w:rPr>
                <w:rFonts w:hint="eastAsia"/>
                <w:szCs w:val="22"/>
              </w:rPr>
              <w:t>《不合格控制程序》、</w:t>
            </w:r>
            <w:r>
              <w:rPr/>
              <w:sym w:font="Wingdings" w:char="00FE"/>
            </w:r>
            <w:r>
              <w:rPr>
                <w:rFonts w:hint="eastAsia"/>
                <w:szCs w:val="22"/>
              </w:rPr>
              <w:t>《纠正和预防措施控制程序》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其他——体系建立以来未发生 </w:t>
            </w:r>
          </w:p>
          <w:p>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1766" w:type="dxa"/>
                </w:tcPr>
                <w:p>
                  <w:pPr>
                    <w:rPr>
                      <w:rFonts w:ascii="宋体" w:hAnsi="宋体"/>
                      <w:szCs w:val="21"/>
                    </w:rPr>
                  </w:pPr>
                  <w:r>
                    <w:rPr>
                      <w:rFonts w:hint="eastAsia" w:ascii="宋体" w:hAnsi="宋体"/>
                      <w:szCs w:val="21"/>
                    </w:rPr>
                    <w:t>不符合描述</w:t>
                  </w:r>
                </w:p>
              </w:tc>
              <w:tc>
                <w:tcPr>
                  <w:tcW w:w="1118" w:type="dxa"/>
                </w:tcPr>
                <w:p>
                  <w:pPr>
                    <w:rPr>
                      <w:rFonts w:ascii="宋体" w:hAnsi="宋体"/>
                      <w:szCs w:val="21"/>
                    </w:rPr>
                  </w:pPr>
                  <w:r>
                    <w:rPr>
                      <w:rFonts w:hint="eastAsia" w:ascii="宋体" w:hAnsi="宋体"/>
                      <w:szCs w:val="21"/>
                    </w:rPr>
                    <w:t>不符合纠正</w:t>
                  </w:r>
                </w:p>
              </w:tc>
              <w:tc>
                <w:tcPr>
                  <w:tcW w:w="2126" w:type="dxa"/>
                </w:tcPr>
                <w:p>
                  <w:pPr>
                    <w:rPr>
                      <w:rFonts w:ascii="宋体" w:hAnsi="宋体"/>
                      <w:szCs w:val="21"/>
                    </w:rPr>
                  </w:pPr>
                  <w:r>
                    <w:rPr>
                      <w:rFonts w:hint="eastAsia" w:ascii="宋体" w:hAnsi="宋体"/>
                      <w:szCs w:val="21"/>
                    </w:rPr>
                    <w:t>原因分析</w:t>
                  </w:r>
                </w:p>
              </w:tc>
              <w:tc>
                <w:tcPr>
                  <w:tcW w:w="1985" w:type="dxa"/>
                </w:tcPr>
                <w:p>
                  <w:pPr>
                    <w:rPr>
                      <w:rFonts w:ascii="宋体" w:hAnsi="宋体"/>
                      <w:szCs w:val="21"/>
                    </w:rPr>
                  </w:pPr>
                  <w:r>
                    <w:rPr>
                      <w:rFonts w:hint="eastAsia" w:ascii="宋体" w:hAnsi="宋体"/>
                      <w:szCs w:val="21"/>
                    </w:rPr>
                    <w:t>纠正措施</w:t>
                  </w:r>
                </w:p>
              </w:tc>
              <w:tc>
                <w:tcPr>
                  <w:tcW w:w="1251"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p>
              </w:tc>
              <w:tc>
                <w:tcPr>
                  <w:tcW w:w="1766" w:type="dxa"/>
                </w:tcPr>
                <w:p>
                  <w:pPr>
                    <w:rPr>
                      <w:rFonts w:ascii="宋体" w:hAnsi="宋体"/>
                      <w:szCs w:val="21"/>
                    </w:rPr>
                  </w:pPr>
                </w:p>
              </w:tc>
              <w:tc>
                <w:tcPr>
                  <w:tcW w:w="1118" w:type="dxa"/>
                </w:tcPr>
                <w:p>
                  <w:pPr>
                    <w:rPr>
                      <w:rFonts w:ascii="宋体" w:hAnsi="宋体"/>
                      <w:szCs w:val="21"/>
                    </w:rPr>
                  </w:pPr>
                </w:p>
              </w:tc>
              <w:tc>
                <w:tcPr>
                  <w:tcW w:w="2126" w:type="dxa"/>
                </w:tcPr>
                <w:p>
                  <w:pPr>
                    <w:rPr>
                      <w:rFonts w:ascii="宋体" w:hAnsi="宋体"/>
                      <w:szCs w:val="21"/>
                    </w:rPr>
                  </w:pPr>
                </w:p>
              </w:tc>
              <w:tc>
                <w:tcPr>
                  <w:tcW w:w="1985" w:type="dxa"/>
                </w:tcPr>
                <w:p>
                  <w:pPr>
                    <w:rPr>
                      <w:rFonts w:ascii="宋体" w:hAnsi="宋体"/>
                      <w:szCs w:val="21"/>
                    </w:rPr>
                  </w:pPr>
                </w:p>
              </w:tc>
              <w:tc>
                <w:tcPr>
                  <w:tcW w:w="1251" w:type="dxa"/>
                </w:tcPr>
                <w:p>
                  <w:pPr>
                    <w:rPr>
                      <w:rFonts w:ascii="宋体" w:hAnsi="宋体"/>
                      <w:szCs w:val="21"/>
                    </w:rPr>
                  </w:pPr>
                  <w:r>
                    <w:rPr>
                      <w:rFonts w:hint="eastAsia" w:ascii="宋体" w:hAnsi="宋体"/>
                      <w:szCs w:val="21"/>
                    </w:rPr>
                    <w:t>有效</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持续改进</w:t>
            </w:r>
          </w:p>
        </w:tc>
        <w:tc>
          <w:tcPr>
            <w:tcW w:w="952" w:type="dxa"/>
            <w:vMerge w:val="restart"/>
          </w:tcPr>
          <w:p>
            <w:r>
              <w:rPr>
                <w:rFonts w:hint="eastAsia"/>
              </w:rPr>
              <w:t>F10.2</w:t>
            </w:r>
          </w:p>
        </w:tc>
        <w:tc>
          <w:tcPr>
            <w:tcW w:w="761" w:type="dxa"/>
          </w:tcPr>
          <w:p>
            <w:r>
              <w:rPr>
                <w:rFonts w:hint="eastAsia"/>
              </w:rPr>
              <w:t>文件名称</w:t>
            </w:r>
          </w:p>
        </w:tc>
        <w:tc>
          <w:tcPr>
            <w:tcW w:w="9370" w:type="dxa"/>
          </w:tcPr>
          <w:p>
            <w:r>
              <w:rPr>
                <w:rFonts w:hint="eastAsia"/>
              </w:rPr>
              <w:t>如：</w:t>
            </w:r>
            <w:r>
              <w:rPr>
                <w:rFonts w:hint="eastAsia"/>
              </w:rPr>
              <w:sym w:font="Wingdings" w:char="00FE"/>
            </w:r>
            <w:r>
              <w:rPr>
                <w:rFonts w:hint="eastAsia"/>
              </w:rPr>
              <w:t>管理手册10.2条款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食品安全管理体系的更新</w:t>
            </w:r>
          </w:p>
          <w:p/>
        </w:tc>
        <w:tc>
          <w:tcPr>
            <w:tcW w:w="952" w:type="dxa"/>
            <w:vMerge w:val="restart"/>
          </w:tcPr>
          <w:p>
            <w:r>
              <w:rPr>
                <w:rFonts w:hint="eastAsia"/>
              </w:rPr>
              <w:t>F10.3</w:t>
            </w:r>
          </w:p>
        </w:tc>
        <w:tc>
          <w:tcPr>
            <w:tcW w:w="761" w:type="dxa"/>
          </w:tcPr>
          <w:p>
            <w:r>
              <w:rPr>
                <w:rFonts w:hint="eastAsia"/>
              </w:rPr>
              <w:t>文件名称</w:t>
            </w:r>
          </w:p>
        </w:tc>
        <w:tc>
          <w:tcPr>
            <w:tcW w:w="9370" w:type="dxa"/>
          </w:tcPr>
          <w:p>
            <w:r>
              <w:rPr>
                <w:rFonts w:hint="eastAsia"/>
              </w:rPr>
              <w:t>如：</w:t>
            </w:r>
            <w:r>
              <w:rPr>
                <w:rFonts w:hint="eastAsia"/>
              </w:rPr>
              <w:sym w:font="Wingdings" w:char="00FE"/>
            </w:r>
            <w:r>
              <w:rPr>
                <w:rFonts w:hint="eastAsia"/>
              </w:rPr>
              <w:t>管理手册10.3章</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u w:val="single"/>
              </w:rPr>
            </w:pPr>
            <w:r>
              <w:t>最高管理者确保FSMS持续更新。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 体系刚刚建立，还未更新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               </w:t>
            </w:r>
            <w:r>
              <w:rPr>
                <w:rFonts w:hint="eastAsia"/>
              </w:rPr>
              <w:t xml:space="preserve">   </w:t>
            </w:r>
            <w:r>
              <w:t>，作为输入报告给管理评审。</w:t>
            </w:r>
          </w:p>
        </w:tc>
        <w:tc>
          <w:tcPr>
            <w:tcW w:w="1587"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IDFont+F5">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2049" o:spid="_x0000_s2049" o:spt="202" type="#_x0000_t202" style="position:absolute;left:0pt;margin-left:554.75pt;margin-top:2.2pt;height:20.2pt;width:172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0376"/>
    <w:rsid w:val="000237F6"/>
    <w:rsid w:val="00023E50"/>
    <w:rsid w:val="0003373A"/>
    <w:rsid w:val="000400E2"/>
    <w:rsid w:val="000414FF"/>
    <w:rsid w:val="00052B5B"/>
    <w:rsid w:val="00062E46"/>
    <w:rsid w:val="00091EEA"/>
    <w:rsid w:val="000A2EB8"/>
    <w:rsid w:val="000B4EF6"/>
    <w:rsid w:val="000E208D"/>
    <w:rsid w:val="000E6B21"/>
    <w:rsid w:val="001126B5"/>
    <w:rsid w:val="00120E8B"/>
    <w:rsid w:val="00131A1C"/>
    <w:rsid w:val="001524B5"/>
    <w:rsid w:val="00154D4D"/>
    <w:rsid w:val="00172A27"/>
    <w:rsid w:val="001858D4"/>
    <w:rsid w:val="001A2D7F"/>
    <w:rsid w:val="001B43F3"/>
    <w:rsid w:val="0020258E"/>
    <w:rsid w:val="0021192A"/>
    <w:rsid w:val="00236D2D"/>
    <w:rsid w:val="00266983"/>
    <w:rsid w:val="002867A9"/>
    <w:rsid w:val="00287427"/>
    <w:rsid w:val="002939AD"/>
    <w:rsid w:val="002948FB"/>
    <w:rsid w:val="002A386F"/>
    <w:rsid w:val="00314AF6"/>
    <w:rsid w:val="00337922"/>
    <w:rsid w:val="00340867"/>
    <w:rsid w:val="00342179"/>
    <w:rsid w:val="00377146"/>
    <w:rsid w:val="00380837"/>
    <w:rsid w:val="003828AD"/>
    <w:rsid w:val="00391453"/>
    <w:rsid w:val="00397091"/>
    <w:rsid w:val="003A198A"/>
    <w:rsid w:val="003C2E29"/>
    <w:rsid w:val="003E1CE9"/>
    <w:rsid w:val="00410914"/>
    <w:rsid w:val="00410AF7"/>
    <w:rsid w:val="004177C7"/>
    <w:rsid w:val="00437057"/>
    <w:rsid w:val="00466D8E"/>
    <w:rsid w:val="004724DC"/>
    <w:rsid w:val="0048201E"/>
    <w:rsid w:val="004A26D4"/>
    <w:rsid w:val="004E2315"/>
    <w:rsid w:val="004E4095"/>
    <w:rsid w:val="004E778D"/>
    <w:rsid w:val="005158BA"/>
    <w:rsid w:val="00536930"/>
    <w:rsid w:val="00553344"/>
    <w:rsid w:val="00564E53"/>
    <w:rsid w:val="00572483"/>
    <w:rsid w:val="005A3D85"/>
    <w:rsid w:val="005D20DB"/>
    <w:rsid w:val="005D5659"/>
    <w:rsid w:val="00600C20"/>
    <w:rsid w:val="00605506"/>
    <w:rsid w:val="006165E1"/>
    <w:rsid w:val="00644FE2"/>
    <w:rsid w:val="0067640C"/>
    <w:rsid w:val="00682E46"/>
    <w:rsid w:val="006A07CA"/>
    <w:rsid w:val="006A5C23"/>
    <w:rsid w:val="006D79E2"/>
    <w:rsid w:val="006E5D54"/>
    <w:rsid w:val="006E678B"/>
    <w:rsid w:val="006E6882"/>
    <w:rsid w:val="006E7B1D"/>
    <w:rsid w:val="007266C7"/>
    <w:rsid w:val="00727A40"/>
    <w:rsid w:val="00733AF3"/>
    <w:rsid w:val="007757F3"/>
    <w:rsid w:val="00796557"/>
    <w:rsid w:val="007979B5"/>
    <w:rsid w:val="007C1B48"/>
    <w:rsid w:val="007C2A95"/>
    <w:rsid w:val="007E3B15"/>
    <w:rsid w:val="007E6AEB"/>
    <w:rsid w:val="00802220"/>
    <w:rsid w:val="00847565"/>
    <w:rsid w:val="00856543"/>
    <w:rsid w:val="00894E82"/>
    <w:rsid w:val="008973EE"/>
    <w:rsid w:val="008C2C55"/>
    <w:rsid w:val="008D74F1"/>
    <w:rsid w:val="008E36A7"/>
    <w:rsid w:val="008E686A"/>
    <w:rsid w:val="008F07D1"/>
    <w:rsid w:val="009235DA"/>
    <w:rsid w:val="009250B4"/>
    <w:rsid w:val="00931CD4"/>
    <w:rsid w:val="00946C95"/>
    <w:rsid w:val="00962383"/>
    <w:rsid w:val="00971600"/>
    <w:rsid w:val="009973B4"/>
    <w:rsid w:val="009C0277"/>
    <w:rsid w:val="009C28C1"/>
    <w:rsid w:val="009F7EED"/>
    <w:rsid w:val="00A30CCE"/>
    <w:rsid w:val="00A45C77"/>
    <w:rsid w:val="00A52DAF"/>
    <w:rsid w:val="00A80636"/>
    <w:rsid w:val="00A94025"/>
    <w:rsid w:val="00A958AF"/>
    <w:rsid w:val="00AC5DC7"/>
    <w:rsid w:val="00AC6892"/>
    <w:rsid w:val="00AE46F3"/>
    <w:rsid w:val="00AE6C82"/>
    <w:rsid w:val="00AF0AAB"/>
    <w:rsid w:val="00B20268"/>
    <w:rsid w:val="00B333DC"/>
    <w:rsid w:val="00B669C6"/>
    <w:rsid w:val="00B86DE8"/>
    <w:rsid w:val="00B9579F"/>
    <w:rsid w:val="00BA5EC2"/>
    <w:rsid w:val="00BD6D3D"/>
    <w:rsid w:val="00BE4D67"/>
    <w:rsid w:val="00BF597E"/>
    <w:rsid w:val="00C03044"/>
    <w:rsid w:val="00C1265C"/>
    <w:rsid w:val="00C218FE"/>
    <w:rsid w:val="00C51A36"/>
    <w:rsid w:val="00C55228"/>
    <w:rsid w:val="00C627AD"/>
    <w:rsid w:val="00C63768"/>
    <w:rsid w:val="00C753E5"/>
    <w:rsid w:val="00C77034"/>
    <w:rsid w:val="00C94B61"/>
    <w:rsid w:val="00C96C18"/>
    <w:rsid w:val="00C977DA"/>
    <w:rsid w:val="00CB2424"/>
    <w:rsid w:val="00CE315A"/>
    <w:rsid w:val="00D06F59"/>
    <w:rsid w:val="00D07241"/>
    <w:rsid w:val="00D6498E"/>
    <w:rsid w:val="00D64E7C"/>
    <w:rsid w:val="00D8388C"/>
    <w:rsid w:val="00DC0902"/>
    <w:rsid w:val="00DC1624"/>
    <w:rsid w:val="00DE16F7"/>
    <w:rsid w:val="00E1129B"/>
    <w:rsid w:val="00E55B87"/>
    <w:rsid w:val="00E6224C"/>
    <w:rsid w:val="00E655FD"/>
    <w:rsid w:val="00E72B00"/>
    <w:rsid w:val="00E75051"/>
    <w:rsid w:val="00EA37D1"/>
    <w:rsid w:val="00EB0164"/>
    <w:rsid w:val="00ED0F62"/>
    <w:rsid w:val="00EE5F6F"/>
    <w:rsid w:val="00EF7F46"/>
    <w:rsid w:val="00F17C6F"/>
    <w:rsid w:val="00F216D6"/>
    <w:rsid w:val="00F51DFC"/>
    <w:rsid w:val="00F651A8"/>
    <w:rsid w:val="00F834DE"/>
    <w:rsid w:val="00FA3476"/>
    <w:rsid w:val="00FF0463"/>
    <w:rsid w:val="00FF13BE"/>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A95A67"/>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2E72100"/>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6">
    <w:name w:val="表格文字"/>
    <w:basedOn w:val="1"/>
    <w:qFormat/>
    <w:uiPriority w:val="0"/>
    <w:pPr>
      <w:spacing w:before="25" w:after="25"/>
    </w:pPr>
    <w:rPr>
      <w:bCs/>
      <w:spacing w:val="1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1515</Words>
  <Characters>8642</Characters>
  <Lines>72</Lines>
  <Paragraphs>20</Paragraphs>
  <TotalTime>0</TotalTime>
  <ScaleCrop>false</ScaleCrop>
  <LinksUpToDate>false</LinksUpToDate>
  <CharactersWithSpaces>10137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2021-09-29T05:26:24Z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215A06C9186542B69993642022505A72</vt:lpwstr>
  </property>
</Properties>
</file>