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11546-2025-QEO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重庆茗源智顶通信科技有限公司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91500107MA5YT9EH83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重庆茗源智顶通信科技有限公司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重庆市九龙坡区二郎街道科城路135号13幢12-16号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重庆市九龙坡区二郎街道科城路135号13幢12-16号</w:t>
            </w:r>
          </w:p>
          <w:p w:rsidR="002460AB">
            <w:pPr>
              <w:snapToGrid w:val="0"/>
              <w:spacing w:line="0" w:lineRule="atLeast"/>
              <w:jc w:val="left"/>
              <w:rPr>
                <w:sz w:val="21"/>
                <w:szCs w:val="21"/>
              </w:rPr>
            </w:pPr>
            <w:r>
              <w:rPr>
                <w:rFonts w:hint="eastAsia"/>
                <w:sz w:val="21"/>
                <w:szCs w:val="21"/>
              </w:rPr>
              <w:t>三汇•泷悦府二期20、21、25、26、29、30、32-35#楼及对应地下车库工程弱电智能化专业分包工程 璧山区卉森•玥明台(黛山大道西)雪松路附52号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E:电子与智能化工程专业承包所涉及场所的相关环境管理活动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O:电子与智能化工程专业承包所涉及场所的相关职业健康安全管理活动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Q:电子与智能化工程专业承包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重庆茗源智顶通信科技有限公司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重庆市九龙坡区二郎街道科城路135号13幢12-16号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重庆市九龙坡区二郎街道科城路135号13幢12-16号</w:t>
            </w:r>
          </w:p>
          <w:p w:rsidR="002460AB">
            <w:pPr>
              <w:snapToGrid w:val="0"/>
              <w:spacing w:line="0" w:lineRule="atLeast"/>
              <w:jc w:val="left"/>
              <w:rPr>
                <w:sz w:val="21"/>
                <w:szCs w:val="21"/>
              </w:rPr>
            </w:pPr>
            <w:r>
              <w:rPr>
                <w:rFonts w:hint="eastAsia"/>
                <w:sz w:val="21"/>
                <w:szCs w:val="21"/>
              </w:rPr>
              <w:t>三汇•泷悦府二期20、21、25、26、29、30、32-35#楼及对应地下车库工程弱电智能化专业分包工程 璧山区卉森•玥明台(黛山大道西)雪松路附52号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E:电子与智能化工程专业承包所涉及场所的相关环境管理活动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O:电子与智能化工程专业承包所涉及场所的相关职业健康安全管理活动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Q:电子与智能化工程专业承包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813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