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1000-2021-Q</w:t>
      </w:r>
      <w:bookmarkEnd w:id="0"/>
    </w:p>
    <w:p>
      <w:pPr>
        <w:snapToGrid w:val="0"/>
        <w:spacing w:line="0" w:lineRule="atLeast"/>
        <w:jc w:val="center"/>
        <w:rPr>
          <w:rFonts w:hint="eastAsia"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eastAsia="隶书"/>
                <w:b/>
                <w:color w:val="000000" w:themeColor="text1"/>
                <w:sz w:val="22"/>
                <w:szCs w:val="22"/>
                <w:vertAlign w:val="baseline"/>
                <w:lang w:val="en-US" w:eastAsia="zh-CN"/>
              </w:rPr>
            </w:pPr>
            <w:r>
              <w:rPr>
                <w:rFonts w:hint="eastAsia" w:ascii="Times New Roman" w:hAnsi="Times New Roman" w:eastAsia="宋体" w:cs="Times New Roman"/>
                <w:kern w:val="2"/>
                <w:sz w:val="22"/>
                <w:szCs w:val="22"/>
                <w:lang w:val="en-US" w:eastAsia="zh-CN" w:bidi="ar-SA"/>
              </w:rPr>
              <w:t>受审核方</w:t>
            </w:r>
            <w:r>
              <w:rPr>
                <w:rFonts w:hint="eastAsia" w:cs="Times New Roman"/>
                <w:kern w:val="2"/>
                <w:sz w:val="22"/>
                <w:szCs w:val="22"/>
                <w:lang w:val="en-US" w:eastAsia="zh-CN" w:bidi="ar-SA"/>
              </w:rPr>
              <w:t>名称</w:t>
            </w:r>
          </w:p>
        </w:tc>
        <w:tc>
          <w:tcPr>
            <w:tcW w:w="5040" w:type="dxa"/>
            <w:gridSpan w:val="3"/>
          </w:tcPr>
          <w:p>
            <w:pPr>
              <w:snapToGrid w:val="0"/>
              <w:spacing w:line="0" w:lineRule="atLeast"/>
              <w:jc w:val="center"/>
              <w:rPr>
                <w:rFonts w:hint="eastAsia" w:eastAsia="隶书"/>
                <w:b/>
                <w:color w:val="000000" w:themeColor="text1"/>
                <w:sz w:val="22"/>
                <w:szCs w:val="22"/>
                <w:vertAlign w:val="baseline"/>
              </w:rPr>
            </w:pPr>
            <w:bookmarkStart w:id="1" w:name="组织名称"/>
            <w:r>
              <w:rPr>
                <w:rFonts w:hint="eastAsia" w:eastAsia="隶书"/>
                <w:b/>
                <w:color w:val="000000" w:themeColor="text1"/>
                <w:sz w:val="22"/>
                <w:szCs w:val="22"/>
                <w:vertAlign w:val="baseline"/>
              </w:rPr>
              <w:t>四川伊维康自动化设备有限公司</w:t>
            </w:r>
            <w:bookmarkEnd w:id="1"/>
          </w:p>
        </w:tc>
        <w:tc>
          <w:tcPr>
            <w:tcW w:w="1370" w:type="dxa"/>
          </w:tcPr>
          <w:p>
            <w:pPr>
              <w:snapToGrid w:val="0"/>
              <w:spacing w:line="0" w:lineRule="atLeast"/>
              <w:jc w:val="center"/>
              <w:rPr>
                <w:rFonts w:hint="eastAsia" w:eastAsia="隶书"/>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hint="eastAsia" w:eastAsia="隶书"/>
                <w:b/>
                <w:color w:val="000000" w:themeColor="text1"/>
                <w:sz w:val="22"/>
                <w:szCs w:val="22"/>
                <w:vertAlign w:val="baseline"/>
              </w:rPr>
            </w:pPr>
            <w:bookmarkStart w:id="2" w:name="总组长"/>
            <w:r>
              <w:rPr>
                <w:rFonts w:hint="eastAsia" w:eastAsia="隶书"/>
                <w:b/>
                <w:color w:val="000000" w:themeColor="text1"/>
                <w:sz w:val="22"/>
                <w:szCs w:val="22"/>
                <w:vertAlign w:val="baseline"/>
              </w:rPr>
              <w:t>陈伟</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040" w:type="dxa"/>
            <w:gridSpan w:val="3"/>
          </w:tcPr>
          <w:p>
            <w:pPr>
              <w:snapToGrid w:val="0"/>
              <w:spacing w:line="0" w:lineRule="atLeast"/>
              <w:jc w:val="center"/>
              <w:rPr>
                <w:rFonts w:hint="eastAsia"/>
                <w:sz w:val="22"/>
                <w:szCs w:val="22"/>
                <w:lang w:val="en-US" w:eastAsia="zh-CN"/>
              </w:rPr>
            </w:pPr>
          </w:p>
        </w:tc>
        <w:tc>
          <w:tcPr>
            <w:tcW w:w="1370"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040" w:type="dxa"/>
            <w:gridSpan w:val="3"/>
          </w:tcPr>
          <w:p>
            <w:pPr>
              <w:snapToGrid w:val="0"/>
              <w:spacing w:line="0" w:lineRule="atLeast"/>
              <w:jc w:val="center"/>
              <w:rPr>
                <w:rFonts w:hint="eastAsia"/>
                <w:sz w:val="22"/>
                <w:szCs w:val="22"/>
                <w:lang w:val="en-US" w:eastAsia="zh-CN"/>
              </w:rPr>
            </w:pPr>
            <w:bookmarkStart w:id="4" w:name="机构代码"/>
            <w:r>
              <w:rPr>
                <w:rFonts w:hint="eastAsia"/>
                <w:sz w:val="22"/>
                <w:szCs w:val="22"/>
                <w:lang w:val="en-US" w:eastAsia="zh-CN"/>
              </w:rPr>
              <w:t>9151142257962230XD</w:t>
            </w:r>
            <w:bookmarkEnd w:id="4"/>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hint="eastAsia" w:ascii="Wingdings" w:hAnsi="Wingdings"/>
                <w:sz w:val="22"/>
                <w:szCs w:val="22"/>
                <w:lang w:val="en-US" w:eastAsia="zh-CN"/>
              </w:rPr>
              <w:t>□</w:t>
            </w:r>
            <w:r>
              <w:rPr>
                <w:rFonts w:hint="eastAsia"/>
                <w:sz w:val="22"/>
                <w:szCs w:val="22"/>
                <w:lang w:val="en-US" w:eastAsia="zh-CN"/>
              </w:rPr>
              <w:t xml:space="preserve"> 带标  </w:t>
            </w:r>
            <w:r>
              <w:rPr>
                <w:rFonts w:hint="eastAsia" w:ascii="Wingdings" w:hAnsi="Wingdings"/>
                <w:sz w:val="22"/>
                <w:szCs w:val="22"/>
                <w:lang w:val="en-US" w:eastAsia="zh-CN"/>
              </w:rPr>
              <w:t>□</w:t>
            </w:r>
            <w:r>
              <w:rPr>
                <w:rFonts w:hint="eastAsia"/>
                <w:sz w:val="22"/>
                <w:szCs w:val="22"/>
                <w:lang w:val="en-US" w:eastAsia="zh-CN"/>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3"/>
          </w:tcPr>
          <w:p>
            <w:pPr>
              <w:snapToGrid w:val="0"/>
              <w:spacing w:line="0" w:lineRule="atLeast"/>
              <w:jc w:val="left"/>
              <w:rPr>
                <w:rFonts w:hint="eastAsia"/>
                <w:sz w:val="22"/>
                <w:szCs w:val="22"/>
                <w:lang w:val="en-US" w:eastAsia="zh-CN"/>
              </w:rPr>
            </w:pPr>
            <w:bookmarkStart w:id="5" w:name="Q勾选"/>
            <w:r>
              <w:rPr>
                <w:rFonts w:hint="eastAsia"/>
                <w:sz w:val="22"/>
                <w:szCs w:val="22"/>
                <w:lang w:val="en-US" w:eastAsia="zh-CN"/>
              </w:rPr>
              <w:t>■</w:t>
            </w:r>
            <w:bookmarkEnd w:id="5"/>
            <w:r>
              <w:rPr>
                <w:rFonts w:hint="eastAsia"/>
                <w:sz w:val="22"/>
                <w:szCs w:val="22"/>
                <w:lang w:val="en-US" w:eastAsia="zh-CN"/>
              </w:rPr>
              <w:t xml:space="preserve"> GB/T 19001-2016 idt ISO 9001:2015标准 (不适用：8.3条款)</w:t>
            </w:r>
          </w:p>
          <w:p>
            <w:pPr>
              <w:snapToGrid w:val="0"/>
              <w:spacing w:line="0" w:lineRule="atLeast"/>
              <w:jc w:val="left"/>
              <w:rPr>
                <w:rFonts w:hint="eastAsia"/>
                <w:sz w:val="22"/>
                <w:szCs w:val="22"/>
                <w:lang w:val="en-US" w:eastAsia="zh-CN"/>
              </w:rPr>
            </w:pPr>
            <w:bookmarkStart w:id="6" w:name="QJ勾选"/>
            <w:r>
              <w:rPr>
                <w:rFonts w:hint="eastAsia"/>
                <w:sz w:val="22"/>
                <w:szCs w:val="22"/>
                <w:lang w:val="en-US" w:eastAsia="zh-CN"/>
              </w:rPr>
              <w:t>□</w:t>
            </w:r>
            <w:bookmarkEnd w:id="6"/>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7" w:name="E勾选"/>
            <w:r>
              <w:rPr>
                <w:rFonts w:hint="eastAsia"/>
                <w:sz w:val="22"/>
                <w:szCs w:val="22"/>
                <w:lang w:val="en-US" w:eastAsia="zh-CN"/>
              </w:rPr>
              <w:t>□</w:t>
            </w:r>
            <w:bookmarkEnd w:id="7"/>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8" w:name="S勾选"/>
            <w:r>
              <w:rPr>
                <w:rFonts w:hint="eastAsia"/>
                <w:sz w:val="22"/>
                <w:szCs w:val="22"/>
                <w:lang w:val="en-US" w:eastAsia="zh-CN"/>
              </w:rPr>
              <w:t>□</w:t>
            </w:r>
            <w:bookmarkEnd w:id="8"/>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bookmarkStart w:id="9" w:name="EnMS勾选"/>
            <w:r>
              <w:rPr>
                <w:rFonts w:hint="eastAsia"/>
                <w:sz w:val="22"/>
                <w:szCs w:val="22"/>
                <w:lang w:val="en-US" w:eastAsia="zh-CN"/>
              </w:rPr>
              <w:t>□</w:t>
            </w:r>
            <w:bookmarkEnd w:id="9"/>
            <w:r>
              <w:rPr>
                <w:rFonts w:hint="eastAsia"/>
                <w:sz w:val="22"/>
                <w:szCs w:val="22"/>
                <w:lang w:val="en-US" w:eastAsia="zh-CN"/>
              </w:rPr>
              <w:t xml:space="preserve"> GB/T 23331-2020 idt ISO 50001:2018标准；</w:t>
            </w:r>
          </w:p>
          <w:p>
            <w:pPr>
              <w:snapToGrid w:val="0"/>
              <w:spacing w:line="0" w:lineRule="atLeast"/>
              <w:jc w:val="left"/>
              <w:rPr>
                <w:rFonts w:hint="eastAsia"/>
                <w:sz w:val="22"/>
                <w:szCs w:val="22"/>
                <w:lang w:val="en-US" w:eastAsia="zh-CN"/>
              </w:rPr>
            </w:pPr>
            <w:r>
              <w:rPr>
                <w:rFonts w:hint="eastAsia"/>
                <w:sz w:val="22"/>
                <w:szCs w:val="22"/>
                <w:lang w:val="en-US" w:eastAsia="zh-CN"/>
              </w:rPr>
              <w:t xml:space="preserve">□RB/T XXXX-XXXX                     </w:t>
            </w:r>
          </w:p>
          <w:p>
            <w:pPr>
              <w:snapToGrid w:val="0"/>
              <w:spacing w:line="0" w:lineRule="atLeast"/>
              <w:jc w:val="left"/>
              <w:rPr>
                <w:rFonts w:hint="eastAsia"/>
                <w:sz w:val="22"/>
                <w:szCs w:val="22"/>
                <w:lang w:val="en-US" w:eastAsia="zh-CN"/>
              </w:rPr>
            </w:pPr>
            <w:bookmarkStart w:id="10" w:name="F勾选"/>
            <w:r>
              <w:rPr>
                <w:rFonts w:hint="eastAsia"/>
                <w:sz w:val="22"/>
                <w:szCs w:val="22"/>
                <w:lang w:val="en-US" w:eastAsia="zh-CN"/>
              </w:rPr>
              <w:t>□</w:t>
            </w:r>
            <w:bookmarkEnd w:id="10"/>
            <w:r>
              <w:rPr>
                <w:rFonts w:hint="eastAsia"/>
                <w:sz w:val="22"/>
                <w:szCs w:val="22"/>
                <w:lang w:val="en-US" w:eastAsia="zh-CN"/>
              </w:rPr>
              <w:t>ISO 22000-2018</w:t>
            </w:r>
          </w:p>
          <w:p>
            <w:pPr>
              <w:snapToGrid w:val="0"/>
              <w:spacing w:line="0" w:lineRule="atLeast"/>
              <w:jc w:val="left"/>
              <w:rPr>
                <w:rFonts w:hint="eastAsia"/>
                <w:sz w:val="22"/>
                <w:szCs w:val="22"/>
                <w:lang w:val="en-US" w:eastAsia="zh-CN"/>
              </w:rPr>
            </w:pPr>
            <w:bookmarkStart w:id="11" w:name="H勾选"/>
            <w:r>
              <w:rPr>
                <w:rFonts w:hint="eastAsia"/>
                <w:sz w:val="22"/>
                <w:szCs w:val="22"/>
                <w:lang w:val="en-US" w:eastAsia="zh-CN"/>
              </w:rPr>
              <w:t>□</w:t>
            </w:r>
            <w:bookmarkEnd w:id="11"/>
            <w:r>
              <w:rPr>
                <w:rFonts w:hint="eastAsia"/>
                <w:sz w:val="22"/>
                <w:szCs w:val="22"/>
                <w:lang w:val="en-US" w:eastAsia="zh-CN"/>
              </w:rPr>
              <w:t>GB/T 27341-2009&amp;GB 14881-2013&amp;危害分析与关键控制点（HACCP体系）认证补充要求 1.0</w:t>
            </w:r>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eastAsia"/>
                <w:sz w:val="22"/>
                <w:szCs w:val="22"/>
                <w:lang w:val="en-US" w:eastAsia="zh-CN"/>
              </w:rPr>
            </w:pPr>
            <w:bookmarkStart w:id="12" w:name="体系人数"/>
            <w:r>
              <w:rPr>
                <w:rFonts w:hint="eastAsia"/>
                <w:sz w:val="22"/>
                <w:szCs w:val="22"/>
                <w:lang w:val="en-US" w:eastAsia="zh-CN"/>
              </w:rPr>
              <w:t>20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5"/>
          </w:tcPr>
          <w:p>
            <w:pPr>
              <w:pStyle w:val="2"/>
              <w:spacing w:line="400" w:lineRule="exact"/>
              <w:ind w:firstLine="0"/>
              <w:rPr>
                <w:rFonts w:hint="eastAsia"/>
                <w:sz w:val="22"/>
                <w:szCs w:val="22"/>
                <w:lang w:val="en-US" w:eastAsia="zh-CN"/>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6" w:name="特殊审核勾选"/>
            <w:r>
              <w:rPr>
                <w:rFonts w:hint="eastAsia"/>
                <w:b/>
                <w:color w:val="000000" w:themeColor="text1"/>
                <w:spacing w:val="-2"/>
                <w:sz w:val="21"/>
                <w:szCs w:val="21"/>
                <w:lang w:val="en-US" w:eastAsia="zh-CN"/>
              </w:rPr>
              <w:t>□</w:t>
            </w:r>
            <w:bookmarkEnd w:id="16"/>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5"/>
          </w:tcPr>
          <w:p>
            <w:pPr>
              <w:pStyle w:val="2"/>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9ED3A3" w:themeFill="background1" w:themeFillShade="D8"/>
          </w:tcPr>
          <w:p>
            <w:pPr>
              <w:pStyle w:val="13"/>
              <w:ind w:left="0"/>
              <w:jc w:val="center"/>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中文公司名称及地址</w:t>
            </w:r>
          </w:p>
        </w:tc>
        <w:tc>
          <w:tcPr>
            <w:tcW w:w="5013" w:type="dxa"/>
            <w:gridSpan w:val="4"/>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highlight w:val="none"/>
                <w:lang w:val="en-US" w:eastAsia="zh-CN" w:bidi="ar-SA"/>
              </w:rPr>
            </w:pPr>
            <w:r>
              <w:rPr>
                <w:rFonts w:hint="eastAsia" w:ascii="Times New Roman" w:hAnsi="Times New Roman" w:eastAsia="宋体" w:cs="Times New Roman"/>
                <w:b w:val="0"/>
                <w:kern w:val="2"/>
                <w:sz w:val="22"/>
                <w:szCs w:val="22"/>
                <w:highlight w:val="none"/>
                <w:lang w:val="en-GB" w:eastAsia="zh-CN" w:bidi="ar-SA"/>
              </w:rPr>
              <w:t>公司名称</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highlight w:val="none"/>
                <w:lang w:val="en-GB" w:eastAsia="zh-CN" w:bidi="ar-SA"/>
              </w:rPr>
            </w:pPr>
            <w:bookmarkStart w:id="17" w:name="组织名称Add1"/>
            <w:r>
              <w:rPr>
                <w:rFonts w:hint="eastAsia" w:ascii="Times New Roman" w:hAnsi="Times New Roman" w:eastAsia="宋体" w:cs="Times New Roman"/>
                <w:b w:val="0"/>
                <w:kern w:val="2"/>
                <w:sz w:val="22"/>
                <w:szCs w:val="22"/>
                <w:highlight w:val="none"/>
                <w:lang w:val="en-US" w:eastAsia="zh-CN" w:bidi="ar-SA"/>
              </w:rPr>
              <w:t>四川伊维康自动化设备有限公司</w:t>
            </w:r>
            <w:bookmarkEnd w:id="17"/>
          </w:p>
        </w:tc>
        <w:tc>
          <w:tcPr>
            <w:tcW w:w="5013" w:type="dxa"/>
            <w:gridSpan w:val="4"/>
            <w:vMerge w:val="restart"/>
          </w:tcPr>
          <w:p>
            <w:pPr>
              <w:snapToGrid w:val="0"/>
              <w:spacing w:line="0" w:lineRule="atLeast"/>
              <w:jc w:val="left"/>
              <w:rPr>
                <w:rFonts w:hint="eastAsia" w:cs="Times New Roman"/>
                <w:b w:val="0"/>
                <w:kern w:val="2"/>
                <w:sz w:val="22"/>
                <w:szCs w:val="22"/>
                <w:highlight w:val="none"/>
                <w:lang w:val="en-US" w:eastAsia="zh-CN" w:bidi="ar-SA"/>
              </w:rPr>
            </w:pPr>
            <w:bookmarkStart w:id="18" w:name="审核范围"/>
            <w:r>
              <w:rPr>
                <w:rFonts w:hint="eastAsia" w:cs="Times New Roman"/>
                <w:b w:val="0"/>
                <w:kern w:val="2"/>
                <w:sz w:val="22"/>
                <w:szCs w:val="22"/>
                <w:highlight w:val="none"/>
                <w:lang w:val="en-US" w:eastAsia="zh-CN" w:bidi="ar-SA"/>
              </w:rPr>
              <w:t>工业自动化输送设备的制造</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highlight w:val="none"/>
                <w:lang w:val="en-US" w:eastAsia="zh-CN" w:bidi="ar-SA"/>
              </w:rPr>
            </w:pPr>
            <w:r>
              <w:rPr>
                <w:rFonts w:hint="eastAsia" w:ascii="Times New Roman" w:hAnsi="Times New Roman" w:eastAsia="宋体" w:cs="Times New Roman"/>
                <w:b w:val="0"/>
                <w:kern w:val="2"/>
                <w:sz w:val="22"/>
                <w:szCs w:val="22"/>
                <w:highlight w:val="none"/>
                <w:lang w:val="en-GB" w:eastAsia="zh-CN" w:bidi="ar-SA"/>
              </w:rPr>
              <w:t>注册地址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highlight w:val="none"/>
                <w:lang w:val="en-US" w:eastAsia="zh-CN" w:bidi="ar-SA"/>
              </w:rPr>
            </w:pPr>
            <w:bookmarkStart w:id="19" w:name="注册地址"/>
            <w:r>
              <w:rPr>
                <w:rFonts w:hint="eastAsia" w:ascii="Times New Roman" w:hAnsi="Times New Roman" w:eastAsia="宋体" w:cs="Times New Roman"/>
                <w:b w:val="0"/>
                <w:kern w:val="2"/>
                <w:sz w:val="22"/>
                <w:szCs w:val="22"/>
                <w:highlight w:val="none"/>
                <w:lang w:val="en-GB" w:eastAsia="zh-CN" w:bidi="ar-SA"/>
              </w:rPr>
              <w:t>眉山市彭山区青龙镇上莲村</w:t>
            </w:r>
            <w:bookmarkEnd w:id="19"/>
          </w:p>
        </w:tc>
        <w:tc>
          <w:tcPr>
            <w:tcW w:w="5013" w:type="dxa"/>
            <w:gridSpan w:val="4"/>
            <w:vMerge w:val="continue"/>
          </w:tcPr>
          <w:p>
            <w:pPr>
              <w:snapToGrid w:val="0"/>
              <w:spacing w:line="0" w:lineRule="atLeast"/>
              <w:jc w:val="left"/>
              <w:rPr>
                <w:rFonts w:hint="eastAsia" w:cs="Times New Roman"/>
                <w:b w:val="0"/>
                <w:kern w:val="2"/>
                <w:sz w:val="22"/>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highlight w:val="none"/>
                <w:lang w:val="en-GB" w:eastAsia="zh-CN" w:bidi="ar-SA"/>
              </w:rPr>
            </w:pPr>
            <w:r>
              <w:rPr>
                <w:rFonts w:hint="eastAsia" w:ascii="Times New Roman" w:hAnsi="Times New Roman" w:eastAsia="宋体" w:cs="Times New Roman"/>
                <w:b w:val="0"/>
                <w:kern w:val="2"/>
                <w:sz w:val="22"/>
                <w:szCs w:val="22"/>
                <w:highlight w:val="none"/>
                <w:lang w:val="en-GB" w:eastAsia="zh-CN" w:bidi="ar-SA"/>
              </w:rPr>
              <w:t>经营地址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highlight w:val="none"/>
                <w:lang w:val="en-US" w:eastAsia="zh-CN" w:bidi="ar-SA"/>
              </w:rPr>
            </w:pPr>
            <w:bookmarkStart w:id="20" w:name="办公地址"/>
            <w:r>
              <w:rPr>
                <w:rFonts w:hint="eastAsia" w:ascii="Times New Roman" w:hAnsi="Times New Roman" w:eastAsia="宋体" w:cs="Times New Roman"/>
                <w:b w:val="0"/>
                <w:kern w:val="2"/>
                <w:sz w:val="22"/>
                <w:szCs w:val="22"/>
                <w:highlight w:val="none"/>
                <w:lang w:val="en-GB" w:eastAsia="zh-CN" w:bidi="ar-SA"/>
              </w:rPr>
              <w:t>眉山市彭山区青龙镇上莲村</w:t>
            </w:r>
            <w:bookmarkEnd w:id="20"/>
          </w:p>
        </w:tc>
        <w:tc>
          <w:tcPr>
            <w:tcW w:w="5013" w:type="dxa"/>
            <w:gridSpan w:val="4"/>
            <w:vMerge w:val="continue"/>
          </w:tcPr>
          <w:p>
            <w:pPr>
              <w:snapToGrid w:val="0"/>
              <w:spacing w:line="0" w:lineRule="atLeast"/>
              <w:jc w:val="left"/>
              <w:rPr>
                <w:rFonts w:hint="eastAsia" w:cs="Times New Roman"/>
                <w:b w:val="0"/>
                <w:kern w:val="2"/>
                <w:sz w:val="22"/>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9ED3A3" w:themeFill="background1" w:themeFillShade="D8"/>
          </w:tcPr>
          <w:p>
            <w:pPr>
              <w:snapToGrid w:val="0"/>
              <w:spacing w:line="0" w:lineRule="atLeast"/>
              <w:jc w:val="center"/>
              <w:rPr>
                <w:rFonts w:hint="eastAsia"/>
                <w:sz w:val="22"/>
                <w:szCs w:val="22"/>
                <w:highlight w:val="none"/>
                <w:lang w:val="en-US" w:eastAsia="zh-CN"/>
              </w:rPr>
            </w:pPr>
            <w:r>
              <w:rPr>
                <w:rFonts w:hint="eastAsia"/>
                <w:sz w:val="21"/>
                <w:szCs w:val="16"/>
                <w:highlight w:val="none"/>
                <w:lang w:val="en-US" w:eastAsia="zh-CN"/>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highlight w:val="none"/>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highlight w:val="none"/>
                <w:lang w:val="en-US" w:eastAsia="zh-CN" w:bidi="ar-SA"/>
              </w:rPr>
            </w:pPr>
            <w:r>
              <w:rPr>
                <w:rFonts w:hint="eastAsia" w:ascii="Times New Roman" w:hAnsi="Times New Roman" w:eastAsia="宋体" w:cs="Times New Roman"/>
                <w:b w:val="0"/>
                <w:kern w:val="2"/>
                <w:sz w:val="22"/>
                <w:szCs w:val="22"/>
                <w:highlight w:val="none"/>
                <w:lang w:val="en-GB" w:eastAsia="zh-CN" w:bidi="ar-SA"/>
              </w:rPr>
              <w:t>英文公司名称及地址                                                      English company name &amp; address</w:t>
            </w:r>
          </w:p>
        </w:tc>
        <w:tc>
          <w:tcPr>
            <w:tcW w:w="5013" w:type="dxa"/>
            <w:gridSpan w:val="4"/>
          </w:tcPr>
          <w:p>
            <w:pPr>
              <w:snapToGrid w:val="0"/>
              <w:spacing w:line="0" w:lineRule="atLeast"/>
              <w:jc w:val="left"/>
              <w:rPr>
                <w:rFonts w:hint="eastAsia" w:ascii="Times New Roman" w:hAnsi="Times New Roman" w:eastAsia="宋体" w:cs="Times New Roman"/>
                <w:b w:val="0"/>
                <w:kern w:val="2"/>
                <w:sz w:val="22"/>
                <w:szCs w:val="22"/>
                <w:highlight w:val="none"/>
                <w:lang w:val="en-GB" w:eastAsia="zh-CN" w:bidi="ar-SA"/>
              </w:rPr>
            </w:pPr>
            <w:r>
              <w:rPr>
                <w:rFonts w:hint="eastAsia" w:ascii="Times New Roman" w:hAnsi="Times New Roman" w:eastAsia="宋体" w:cs="Times New Roman"/>
                <w:b w:val="0"/>
                <w:kern w:val="2"/>
                <w:sz w:val="22"/>
                <w:szCs w:val="22"/>
                <w:highlight w:val="none"/>
                <w:lang w:val="en-GB" w:eastAsia="zh-CN" w:bidi="ar-SA"/>
              </w:rPr>
              <w:t xml:space="preserve">英文认证范围                </w:t>
            </w:r>
          </w:p>
          <w:p>
            <w:pPr>
              <w:snapToGrid w:val="0"/>
              <w:spacing w:line="0" w:lineRule="atLeast"/>
              <w:jc w:val="left"/>
              <w:rPr>
                <w:rFonts w:hint="default" w:ascii="Times New Roman" w:hAnsi="Times New Roman" w:eastAsia="宋体" w:cs="Times New Roman"/>
                <w:b w:val="0"/>
                <w:kern w:val="2"/>
                <w:sz w:val="22"/>
                <w:szCs w:val="22"/>
                <w:highlight w:val="none"/>
                <w:lang w:val="en-US" w:eastAsia="zh-CN" w:bidi="ar-SA"/>
              </w:rPr>
            </w:pPr>
            <w:r>
              <w:rPr>
                <w:rFonts w:hint="eastAsia" w:ascii="Times New Roman" w:hAnsi="Times New Roman" w:eastAsia="宋体" w:cs="Times New Roman"/>
                <w:b w:val="0"/>
                <w:kern w:val="2"/>
                <w:sz w:val="22"/>
                <w:szCs w:val="22"/>
                <w:highlight w:val="none"/>
                <w:lang w:val="en-GB" w:eastAsia="zh-CN" w:bidi="ar-SA"/>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highlight w:val="none"/>
                <w:lang w:val="en-US" w:eastAsia="zh-CN" w:bidi="ar-SA"/>
              </w:rPr>
            </w:pPr>
            <w:r>
              <w:rPr>
                <w:rFonts w:cs="Arial"/>
                <w:b/>
                <w:bCs/>
                <w:sz w:val="22"/>
                <w:szCs w:val="16"/>
                <w:highlight w:val="none"/>
                <w:lang w:val="en-US"/>
              </w:rPr>
              <w:t>Company Name</w:t>
            </w:r>
            <w:r>
              <w:rPr>
                <w:rFonts w:hint="eastAsia" w:ascii="Times New Roman" w:hAnsi="Times New Roman" w:eastAsia="宋体" w:cs="Times New Roman"/>
                <w:b w:val="0"/>
                <w:kern w:val="2"/>
                <w:sz w:val="22"/>
                <w:szCs w:val="22"/>
                <w:highlight w:val="none"/>
                <w:lang w:val="en-GB" w:eastAsia="zh-CN" w:bidi="ar-SA"/>
              </w:rPr>
              <w:t>公司名称</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highlight w:val="none"/>
                <w:lang w:val="en-US" w:eastAsia="zh-CN" w:bidi="ar-SA"/>
              </w:rPr>
            </w:pPr>
            <w:bookmarkStart w:id="21" w:name="_GoBack"/>
            <w:bookmarkEnd w:id="21"/>
          </w:p>
        </w:tc>
        <w:tc>
          <w:tcPr>
            <w:tcW w:w="1337" w:type="dxa"/>
          </w:tcPr>
          <w:p>
            <w:pPr>
              <w:snapToGrid w:val="0"/>
              <w:spacing w:line="0" w:lineRule="atLeast"/>
              <w:jc w:val="left"/>
              <w:rPr>
                <w:rFonts w:hint="default" w:ascii="Times New Roman" w:hAnsi="Times New Roman" w:eastAsia="宋体" w:cs="Times New Roman"/>
                <w:b w:val="0"/>
                <w:kern w:val="2"/>
                <w:sz w:val="22"/>
                <w:szCs w:val="22"/>
                <w:highlight w:val="none"/>
                <w:lang w:val="en-US" w:eastAsia="zh-CN" w:bidi="ar-SA"/>
              </w:rPr>
            </w:pPr>
            <w:r>
              <w:rPr>
                <w:rFonts w:hint="eastAsia" w:cs="Times New Roman"/>
                <w:b w:val="0"/>
                <w:kern w:val="2"/>
                <w:sz w:val="22"/>
                <w:szCs w:val="22"/>
                <w:highlight w:val="none"/>
                <w:lang w:val="en-US" w:eastAsia="zh-CN" w:bidi="ar-SA"/>
              </w:rPr>
              <w:t>QMS/EcMS</w:t>
            </w:r>
          </w:p>
        </w:tc>
        <w:tc>
          <w:tcPr>
            <w:tcW w:w="3676" w:type="dxa"/>
            <w:gridSpan w:val="3"/>
          </w:tcPr>
          <w:p>
            <w:pPr>
              <w:snapToGrid w:val="0"/>
              <w:spacing w:line="0" w:lineRule="atLeast"/>
              <w:jc w:val="left"/>
              <w:rPr>
                <w:rFonts w:hint="eastAsia"/>
                <w:sz w:val="21"/>
                <w:szCs w:val="16"/>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highlight w:val="none"/>
                <w:lang w:val="en-US"/>
              </w:rPr>
            </w:pPr>
          </w:p>
        </w:tc>
        <w:tc>
          <w:tcPr>
            <w:tcW w:w="3373" w:type="dxa"/>
            <w:vMerge w:val="continue"/>
          </w:tcPr>
          <w:p>
            <w:pPr>
              <w:snapToGrid w:val="0"/>
              <w:spacing w:line="0" w:lineRule="atLeast"/>
              <w:jc w:val="left"/>
              <w:rPr>
                <w:rFonts w:hint="eastAsia" w:cs="Arial"/>
                <w:b/>
                <w:bCs/>
                <w:sz w:val="22"/>
                <w:szCs w:val="16"/>
                <w:highlight w:val="none"/>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highlight w:val="none"/>
                <w:lang w:val="en-US" w:eastAsia="zh-CN" w:bidi="ar-SA"/>
              </w:rPr>
            </w:pPr>
            <w:r>
              <w:rPr>
                <w:rFonts w:hint="eastAsia" w:cs="Times New Roman"/>
                <w:b w:val="0"/>
                <w:kern w:val="2"/>
                <w:sz w:val="22"/>
                <w:szCs w:val="22"/>
                <w:highlight w:val="none"/>
                <w:lang w:val="en-US" w:eastAsia="zh-CN" w:bidi="ar-SA"/>
              </w:rPr>
              <w:t>EMS</w:t>
            </w:r>
          </w:p>
        </w:tc>
        <w:tc>
          <w:tcPr>
            <w:tcW w:w="3676" w:type="dxa"/>
            <w:gridSpan w:val="3"/>
          </w:tcPr>
          <w:p>
            <w:pPr>
              <w:snapToGrid w:val="0"/>
              <w:spacing w:line="0" w:lineRule="atLeast"/>
              <w:jc w:val="left"/>
              <w:rPr>
                <w:rFonts w:hint="eastAsia"/>
                <w:sz w:val="21"/>
                <w:szCs w:val="16"/>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highlight w:val="none"/>
                <w:lang w:val="en-US" w:eastAsia="zh-CN" w:bidi="ar-SA"/>
              </w:rPr>
            </w:pPr>
            <w:r>
              <w:rPr>
                <w:sz w:val="22"/>
                <w:szCs w:val="16"/>
                <w:highlight w:val="none"/>
              </w:rPr>
              <w:fldChar w:fldCharType="begin"/>
            </w:r>
            <w:r>
              <w:rPr>
                <w:sz w:val="22"/>
                <w:szCs w:val="16"/>
                <w:highlight w:val="none"/>
                <w:lang w:val="en-GB" w:eastAsia="zh-CN"/>
              </w:rPr>
              <w:instrText xml:space="preserve"> STYLEREF TM_street \* MERGEFORMAT </w:instrText>
            </w:r>
            <w:r>
              <w:rPr>
                <w:sz w:val="22"/>
                <w:szCs w:val="16"/>
                <w:highlight w:val="none"/>
              </w:rPr>
              <w:fldChar w:fldCharType="separate"/>
            </w:r>
            <w:r>
              <w:rPr>
                <w:sz w:val="22"/>
                <w:szCs w:val="16"/>
                <w:highlight w:val="none"/>
              </w:rPr>
              <w:fldChar w:fldCharType="end"/>
            </w:r>
            <w:r>
              <w:rPr>
                <w:rFonts w:cs="Arial"/>
                <w:b/>
                <w:bCs/>
                <w:sz w:val="22"/>
                <w:szCs w:val="16"/>
                <w:highlight w:val="none"/>
                <w:lang w:val="en-US"/>
              </w:rPr>
              <w:t>Registration Address</w:t>
            </w:r>
            <w:r>
              <w:rPr>
                <w:rFonts w:hint="eastAsia" w:ascii="Times New Roman" w:hAnsi="Times New Roman" w:eastAsia="宋体" w:cs="Times New Roman"/>
                <w:b w:val="0"/>
                <w:kern w:val="2"/>
                <w:sz w:val="22"/>
                <w:szCs w:val="22"/>
                <w:highlight w:val="none"/>
                <w:lang w:val="en-GB" w:eastAsia="zh-CN" w:bidi="ar-SA"/>
              </w:rPr>
              <w:t>注册地址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highlight w:val="none"/>
                <w:lang w:val="en-US" w:eastAsia="zh-CN" w:bidi="ar-SA"/>
              </w:rPr>
            </w:pPr>
          </w:p>
        </w:tc>
        <w:tc>
          <w:tcPr>
            <w:tcW w:w="1337" w:type="dxa"/>
          </w:tcPr>
          <w:p>
            <w:pPr>
              <w:snapToGrid w:val="0"/>
              <w:spacing w:line="0" w:lineRule="atLeast"/>
              <w:jc w:val="left"/>
              <w:rPr>
                <w:rFonts w:hint="default" w:ascii="Times New Roman" w:hAnsi="Times New Roman" w:eastAsia="宋体" w:cs="Times New Roman"/>
                <w:b w:val="0"/>
                <w:kern w:val="2"/>
                <w:sz w:val="22"/>
                <w:szCs w:val="22"/>
                <w:highlight w:val="none"/>
                <w:lang w:val="en-US" w:eastAsia="zh-CN" w:bidi="ar-SA"/>
              </w:rPr>
            </w:pPr>
            <w:r>
              <w:rPr>
                <w:rFonts w:hint="eastAsia" w:cs="Times New Roman"/>
                <w:b w:val="0"/>
                <w:kern w:val="2"/>
                <w:sz w:val="22"/>
                <w:szCs w:val="22"/>
                <w:highlight w:val="none"/>
                <w:lang w:val="en-US" w:eastAsia="zh-CN" w:bidi="ar-SA"/>
              </w:rPr>
              <w:t>OHSMS</w:t>
            </w:r>
          </w:p>
        </w:tc>
        <w:tc>
          <w:tcPr>
            <w:tcW w:w="3676" w:type="dxa"/>
            <w:gridSpan w:val="3"/>
          </w:tcPr>
          <w:p>
            <w:pPr>
              <w:snapToGrid w:val="0"/>
              <w:spacing w:line="0" w:lineRule="atLeast"/>
              <w:jc w:val="left"/>
              <w:rPr>
                <w:rFonts w:hint="default" w:ascii="Times New Roman" w:hAnsi="Times New Roman" w:eastAsia="宋体" w:cs="Times New Roman"/>
                <w:b w:val="0"/>
                <w:kern w:val="2"/>
                <w:sz w:val="22"/>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highlight w:val="none"/>
              </w:rPr>
            </w:pPr>
          </w:p>
        </w:tc>
        <w:tc>
          <w:tcPr>
            <w:tcW w:w="3373" w:type="dxa"/>
            <w:vMerge w:val="continue"/>
          </w:tcPr>
          <w:p>
            <w:pPr>
              <w:snapToGrid w:val="0"/>
              <w:spacing w:line="0" w:lineRule="atLeast"/>
              <w:jc w:val="left"/>
              <w:rPr>
                <w:rFonts w:cs="Arial"/>
                <w:b/>
                <w:bCs/>
                <w:sz w:val="22"/>
                <w:szCs w:val="16"/>
                <w:highlight w:val="none"/>
                <w:lang w:val="en-US" w:eastAsia="zh-CN"/>
              </w:rPr>
            </w:pPr>
          </w:p>
        </w:tc>
        <w:tc>
          <w:tcPr>
            <w:tcW w:w="1337" w:type="dxa"/>
          </w:tcPr>
          <w:p>
            <w:pPr>
              <w:snapToGrid w:val="0"/>
              <w:spacing w:line="0" w:lineRule="atLeast"/>
              <w:jc w:val="left"/>
              <w:rPr>
                <w:rFonts w:hint="default" w:ascii="Times New Roman" w:hAnsi="Times New Roman" w:eastAsia="宋体" w:cs="Times New Roman"/>
                <w:b w:val="0"/>
                <w:kern w:val="2"/>
                <w:sz w:val="22"/>
                <w:szCs w:val="22"/>
                <w:highlight w:val="none"/>
                <w:lang w:val="en-US" w:eastAsia="zh-CN" w:bidi="ar-SA"/>
              </w:rPr>
            </w:pPr>
            <w:r>
              <w:rPr>
                <w:rFonts w:hint="eastAsia" w:cs="Times New Roman"/>
                <w:b w:val="0"/>
                <w:kern w:val="2"/>
                <w:sz w:val="22"/>
                <w:szCs w:val="22"/>
                <w:highlight w:val="none"/>
                <w:lang w:val="en-US" w:eastAsia="zh-CN" w:bidi="ar-SA"/>
              </w:rPr>
              <w:t>EnMS</w:t>
            </w:r>
          </w:p>
        </w:tc>
        <w:tc>
          <w:tcPr>
            <w:tcW w:w="3676" w:type="dxa"/>
            <w:gridSpan w:val="3"/>
          </w:tcPr>
          <w:p>
            <w:pPr>
              <w:snapToGrid w:val="0"/>
              <w:spacing w:line="0" w:lineRule="atLeast"/>
              <w:jc w:val="left"/>
              <w:rPr>
                <w:rFonts w:hint="default" w:ascii="Times New Roman" w:hAnsi="Times New Roman" w:eastAsia="宋体" w:cs="Times New Roman"/>
                <w:b w:val="0"/>
                <w:kern w:val="2"/>
                <w:sz w:val="22"/>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highlight w:val="none"/>
                <w:lang w:val="en-GB" w:eastAsia="zh-CN" w:bidi="ar-SA"/>
              </w:rPr>
            </w:pPr>
            <w:r>
              <w:rPr>
                <w:rFonts w:cs="Arial"/>
                <w:b/>
                <w:bCs/>
                <w:sz w:val="22"/>
                <w:szCs w:val="16"/>
                <w:highlight w:val="none"/>
                <w:lang w:val="en-US"/>
              </w:rPr>
              <w:t>Operation Address</w:t>
            </w:r>
            <w:r>
              <w:rPr>
                <w:rFonts w:hint="eastAsia" w:cs="Times New Roman"/>
                <w:b w:val="0"/>
                <w:kern w:val="2"/>
                <w:sz w:val="22"/>
                <w:szCs w:val="22"/>
                <w:highlight w:val="none"/>
                <w:lang w:val="en-US" w:eastAsia="zh-CN" w:bidi="ar-SA"/>
              </w:rPr>
              <w:t>经营</w:t>
            </w:r>
            <w:r>
              <w:rPr>
                <w:rFonts w:hint="eastAsia" w:ascii="Times New Roman" w:hAnsi="Times New Roman" w:eastAsia="宋体" w:cs="Times New Roman"/>
                <w:b w:val="0"/>
                <w:kern w:val="2"/>
                <w:sz w:val="22"/>
                <w:szCs w:val="22"/>
                <w:highlight w:val="none"/>
                <w:lang w:val="en-GB" w:eastAsia="zh-CN" w:bidi="ar-SA"/>
              </w:rPr>
              <w:t>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highlight w:val="none"/>
                <w:lang w:val="en-US" w:eastAsia="zh-CN" w:bidi="ar-SA"/>
              </w:rPr>
            </w:pPr>
          </w:p>
        </w:tc>
        <w:tc>
          <w:tcPr>
            <w:tcW w:w="1337" w:type="dxa"/>
          </w:tcPr>
          <w:p>
            <w:pPr>
              <w:snapToGrid w:val="0"/>
              <w:spacing w:line="0" w:lineRule="atLeast"/>
              <w:jc w:val="left"/>
              <w:rPr>
                <w:rFonts w:hint="eastAsia" w:ascii="Times New Roman" w:hAnsi="Times New Roman" w:eastAsia="宋体" w:cs="Times New Roman"/>
                <w:b w:val="0"/>
                <w:kern w:val="2"/>
                <w:sz w:val="22"/>
                <w:szCs w:val="22"/>
                <w:highlight w:val="none"/>
                <w:lang w:val="en-US" w:eastAsia="zh-CN" w:bidi="ar-SA"/>
              </w:rPr>
            </w:pPr>
            <w:r>
              <w:rPr>
                <w:rFonts w:hint="eastAsia" w:cs="Times New Roman"/>
                <w:b w:val="0"/>
                <w:kern w:val="2"/>
                <w:sz w:val="22"/>
                <w:szCs w:val="22"/>
                <w:highlight w:val="none"/>
                <w:lang w:val="en-US" w:eastAsia="zh-CN" w:bidi="ar-SA"/>
              </w:rPr>
              <w:t>FSMS</w:t>
            </w:r>
          </w:p>
        </w:tc>
        <w:tc>
          <w:tcPr>
            <w:tcW w:w="3676" w:type="dxa"/>
            <w:gridSpan w:val="3"/>
          </w:tcPr>
          <w:p>
            <w:pPr>
              <w:snapToGrid w:val="0"/>
              <w:spacing w:line="0" w:lineRule="atLeast"/>
              <w:jc w:val="left"/>
              <w:rPr>
                <w:rFonts w:hint="eastAsia" w:ascii="Times New Roman" w:hAnsi="Times New Roman" w:eastAsia="宋体" w:cs="Times New Roman"/>
                <w:b w:val="0"/>
                <w:kern w:val="2"/>
                <w:sz w:val="22"/>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highlight w:val="none"/>
                <w:lang w:val="en-US"/>
              </w:rPr>
            </w:pPr>
          </w:p>
        </w:tc>
        <w:tc>
          <w:tcPr>
            <w:tcW w:w="3373" w:type="dxa"/>
            <w:vMerge w:val="continue"/>
          </w:tcPr>
          <w:p>
            <w:pPr>
              <w:snapToGrid w:val="0"/>
              <w:spacing w:line="0" w:lineRule="atLeast"/>
              <w:jc w:val="left"/>
              <w:rPr>
                <w:rFonts w:cs="Arial"/>
                <w:b/>
                <w:bCs/>
                <w:sz w:val="22"/>
                <w:szCs w:val="16"/>
                <w:highlight w:val="none"/>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highlight w:val="none"/>
                <w:lang w:val="en-US" w:eastAsia="zh-CN" w:bidi="ar-SA"/>
              </w:rPr>
            </w:pPr>
            <w:r>
              <w:rPr>
                <w:rFonts w:hint="eastAsia" w:cs="Times New Roman"/>
                <w:b w:val="0"/>
                <w:kern w:val="2"/>
                <w:sz w:val="22"/>
                <w:szCs w:val="22"/>
                <w:highlight w:val="none"/>
                <w:lang w:val="en-US" w:eastAsia="zh-CN" w:bidi="ar-SA"/>
              </w:rPr>
              <w:t>HACCP</w:t>
            </w:r>
          </w:p>
        </w:tc>
        <w:tc>
          <w:tcPr>
            <w:tcW w:w="3676" w:type="dxa"/>
            <w:gridSpan w:val="3"/>
          </w:tcPr>
          <w:p>
            <w:pPr>
              <w:snapToGrid w:val="0"/>
              <w:spacing w:line="0" w:lineRule="atLeast"/>
              <w:jc w:val="left"/>
              <w:rPr>
                <w:rFonts w:hint="eastAsia" w:ascii="Times New Roman" w:hAnsi="Times New Roman" w:eastAsia="宋体" w:cs="Times New Roman"/>
                <w:b w:val="0"/>
                <w:kern w:val="2"/>
                <w:sz w:val="22"/>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hint="default" w:eastAsia="宋体" w:cs="Arial"/>
                <w:b/>
                <w:bCs/>
                <w:sz w:val="22"/>
                <w:szCs w:val="16"/>
                <w:lang w:val="en-US" w:eastAsia="zh-CN"/>
              </w:rPr>
            </w:pPr>
            <w:r>
              <w:rPr>
                <w:rFonts w:hint="eastAsia" w:cs="Arial"/>
                <w:b/>
                <w:bCs/>
                <w:sz w:val="22"/>
                <w:szCs w:val="16"/>
                <w:lang w:val="en-US" w:eastAsia="zh-CN"/>
              </w:rPr>
              <w:t>受审核方签章</w:t>
            </w:r>
          </w:p>
        </w:tc>
        <w:tc>
          <w:tcPr>
            <w:tcW w:w="5040" w:type="dxa"/>
            <w:gridSpan w:val="3"/>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370"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sz w:val="22"/>
                <w:szCs w:val="18"/>
                <w:lang w:val="en-US" w:eastAsia="zh-CN"/>
              </w:rPr>
              <w:t>审核组长签字</w:t>
            </w:r>
          </w:p>
        </w:tc>
        <w:tc>
          <w:tcPr>
            <w:tcW w:w="19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sz w:val="22"/>
                <w:szCs w:val="22"/>
              </w:rPr>
              <w:drawing>
                <wp:anchor distT="0" distB="0" distL="114300" distR="114300" simplePos="0" relativeHeight="251661312" behindDoc="0" locked="0" layoutInCell="1" allowOverlap="1">
                  <wp:simplePos x="0" y="0"/>
                  <wp:positionH relativeFrom="column">
                    <wp:posOffset>120015</wp:posOffset>
                  </wp:positionH>
                  <wp:positionV relativeFrom="paragraph">
                    <wp:posOffset>80010</wp:posOffset>
                  </wp:positionV>
                  <wp:extent cx="516255" cy="338455"/>
                  <wp:effectExtent l="0" t="0" r="17145" b="4445"/>
                  <wp:wrapNone/>
                  <wp:docPr id="9" name="图片 9"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7de3ae164cf7699def4c632e53688b"/>
                          <pic:cNvPicPr>
                            <a:picLocks noChangeAspect="1"/>
                          </pic:cNvPicPr>
                        </pic:nvPicPr>
                        <pic:blipFill>
                          <a:blip r:embed="rId7" cstate="print"/>
                          <a:stretch>
                            <a:fillRect/>
                          </a:stretch>
                        </pic:blipFill>
                        <pic:spPr>
                          <a:xfrm>
                            <a:off x="0" y="0"/>
                            <a:ext cx="516255" cy="338455"/>
                          </a:xfrm>
                          <a:prstGeom prst="rect">
                            <a:avLst/>
                          </a:prstGeom>
                        </pic:spPr>
                      </pic:pic>
                    </a:graphicData>
                  </a:graphic>
                </wp:anchor>
              </w:drawing>
            </w:r>
          </w:p>
        </w:tc>
      </w:tr>
    </w:tbl>
    <w:p>
      <w:pPr>
        <w:snapToGrid w:val="0"/>
        <w:spacing w:line="0" w:lineRule="atLeast"/>
        <w:jc w:val="center"/>
        <w:rPr>
          <w:rFonts w:hint="eastAsia"/>
          <w:sz w:val="24"/>
          <w:szCs w:val="24"/>
          <w:lang w:val="en-US" w:eastAsia="zh-CN"/>
        </w:rPr>
      </w:pPr>
    </w:p>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b/>
          <w:color w:val="000000" w:themeColor="text1"/>
          <w:sz w:val="18"/>
          <w:szCs w:val="18"/>
          <w:lang w:val="en-GB" w:eastAsia="zh-CN"/>
        </w:rPr>
      </w:pPr>
      <w:r>
        <w:rPr>
          <w:rFonts w:hint="eastAsia"/>
          <w:lang w:val="en-US" w:eastAsia="zh-CN"/>
        </w:rPr>
        <w:t>7、翻译费用可直接与审核费用一同汇入我公司账户或由审核组长从现场带回。</w:t>
      </w:r>
    </w:p>
    <w:sectPr>
      <w:headerReference r:id="rId5" w:type="default"/>
      <w:pgSz w:w="11906" w:h="16838"/>
      <w:pgMar w:top="1440" w:right="1080" w:bottom="1440" w:left="1080" w:header="737" w:footer="480"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pict>
        <v:shape id="_x0000_s2049" o:spid="_x0000_s2049" o:spt="202" type="#_x0000_t202" style="position:absolute;left:0pt;margin-left:389.15pt;margin-top:10.7pt;height:20.2pt;width:87.9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7D3016"/>
    <w:rsid w:val="196E6FE1"/>
    <w:rsid w:val="361572D8"/>
    <w:rsid w:val="4EDA0C07"/>
    <w:rsid w:val="61084A70"/>
    <w:rsid w:val="6E5B3357"/>
    <w:rsid w:val="70F346F8"/>
    <w:rsid w:val="7D596848"/>
    <w:rsid w:val="7FFD38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156</Words>
  <Characters>895</Characters>
  <Lines>7</Lines>
  <Paragraphs>2</Paragraphs>
  <TotalTime>1</TotalTime>
  <ScaleCrop>false</ScaleCrop>
  <LinksUpToDate>false</LinksUpToDate>
  <CharactersWithSpaces>1049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way一直都在</cp:lastModifiedBy>
  <cp:lastPrinted>2019-05-13T03:13:00Z</cp:lastPrinted>
  <dcterms:modified xsi:type="dcterms:W3CDTF">2021-09-24T03:30:02Z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2052-11.1.0.10938</vt:lpwstr>
  </property>
</Properties>
</file>